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</w:t>
      </w:r>
      <w:r w:rsidR="00BE70CC">
        <w:rPr>
          <w:rFonts w:ascii="Times New Roman" w:hAnsi="Times New Roman" w:cs="Times New Roman"/>
          <w:b/>
          <w:sz w:val="24"/>
          <w:szCs w:val="24"/>
          <w:u w:val="single"/>
        </w:rPr>
        <w:t>t Meeting Minutes of the Special</w:t>
      </w: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 xml:space="preserve">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E550AD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Tue</w:t>
      </w:r>
      <w:r w:rsidR="00D373CE">
        <w:rPr>
          <w:rFonts w:ascii="Times New Roman" w:hAnsi="Times New Roman" w:cs="Times New Roman"/>
          <w:b/>
          <w:sz w:val="24"/>
          <w:szCs w:val="24"/>
          <w:u w:val="single"/>
        </w:rPr>
        <w:t>sday, April 17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373C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City Administration Building - 102</w:t>
      </w:r>
      <w:r w:rsidR="00DE58BE">
        <w:rPr>
          <w:rFonts w:ascii="Times New Roman" w:hAnsi="Times New Roman" w:cs="Times New Roman"/>
          <w:b/>
          <w:sz w:val="24"/>
          <w:szCs w:val="24"/>
          <w:u w:val="single"/>
        </w:rPr>
        <w:t xml:space="preserve"> Conference Room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 8:3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D373CE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373CE" w:rsidRPr="005C72F1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73CE" w:rsidRPr="005C72F1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373CE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373CE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373CE" w:rsidRPr="005C72F1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73CE" w:rsidRPr="005C72F1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373CE" w:rsidRPr="005C72F1" w:rsidRDefault="00D373CE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F678C5" w:rsidRDefault="00D373CE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Tiffany Colvert </w:t>
            </w:r>
          </w:p>
          <w:p w:rsidR="00D53513" w:rsidRDefault="00D373CE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  <w:p w:rsidR="00D373CE" w:rsidRDefault="00D373CE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  <w:p w:rsidR="00ED689A" w:rsidRDefault="00D373CE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401730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Cope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E550AD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Economic Development Manager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6B6D5A">
        <w:rPr>
          <w:rFonts w:ascii="Times New Roman" w:hAnsi="Times New Roman" w:cs="Times New Roman"/>
          <w:sz w:val="24"/>
          <w:szCs w:val="24"/>
        </w:rPr>
        <w:t>:</w:t>
      </w:r>
      <w:r w:rsidR="006B6D5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6B6D5A" w:rsidRPr="005C72F1" w:rsidTr="00FF2D77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Ray O’Sullivan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Nevada Developer</w:t>
            </w:r>
          </w:p>
        </w:tc>
      </w:tr>
      <w:tr w:rsidR="006B6D5A" w:rsidRPr="005C72F1" w:rsidTr="00FF2D77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Guadagnoli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Nevada  Developer</w:t>
            </w:r>
          </w:p>
        </w:tc>
      </w:tr>
      <w:tr w:rsidR="006B6D5A" w:rsidRPr="005C72F1" w:rsidTr="00FF2D77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 Taylor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North Slope Capital</w:t>
            </w:r>
          </w:p>
        </w:tc>
      </w:tr>
      <w:tr w:rsidR="006B6D5A" w:rsidRPr="005C72F1" w:rsidTr="00FF2D77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Thomas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Weihe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Kutak Rock</w:t>
            </w:r>
          </w:p>
        </w:tc>
      </w:tr>
      <w:tr w:rsidR="006B6D5A" w:rsidRPr="005C72F1" w:rsidTr="00FF2D77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Bishop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B6D5A" w:rsidRPr="005C72F1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B6D5A" w:rsidRDefault="006B6D5A" w:rsidP="00FF2D7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D.A. Davidson &amp; Co.</w:t>
            </w:r>
          </w:p>
        </w:tc>
      </w:tr>
    </w:tbl>
    <w:p w:rsidR="006B6D5A" w:rsidRPr="005C72F1" w:rsidRDefault="006B6D5A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D373CE">
        <w:rPr>
          <w:rFonts w:ascii="Times New Roman" w:hAnsi="Times New Roman" w:cs="Times New Roman"/>
          <w:sz w:val="24"/>
          <w:szCs w:val="24"/>
        </w:rPr>
        <w:t>8:3</w:t>
      </w:r>
      <w:r w:rsidR="006B6D5A">
        <w:rPr>
          <w:rFonts w:ascii="Times New Roman" w:hAnsi="Times New Roman" w:cs="Times New Roman"/>
          <w:sz w:val="24"/>
          <w:szCs w:val="24"/>
        </w:rPr>
        <w:t>5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D373CE">
        <w:rPr>
          <w:rFonts w:ascii="Times New Roman" w:hAnsi="Times New Roman" w:cs="Times New Roman"/>
          <w:b/>
          <w:sz w:val="24"/>
          <w:szCs w:val="24"/>
        </w:rPr>
        <w:t xml:space="preserve"> – South Nevada/Canyon Creek Bonds</w:t>
      </w:r>
    </w:p>
    <w:p w:rsidR="00D373CE" w:rsidRDefault="00567DD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Ne</w:t>
      </w:r>
      <w:r w:rsidR="001574DA">
        <w:rPr>
          <w:rFonts w:ascii="Times New Roman" w:hAnsi="Times New Roman" w:cs="Times New Roman"/>
          <w:sz w:val="24"/>
          <w:szCs w:val="24"/>
        </w:rPr>
        <w:t xml:space="preserve">ville </w:t>
      </w:r>
      <w:r w:rsidR="00EC7A41">
        <w:rPr>
          <w:rFonts w:ascii="Times New Roman" w:hAnsi="Times New Roman" w:cs="Times New Roman"/>
          <w:sz w:val="24"/>
          <w:szCs w:val="24"/>
        </w:rPr>
        <w:t>gave a brief review of</w:t>
      </w:r>
      <w:r w:rsidR="001574DA">
        <w:rPr>
          <w:rFonts w:ascii="Times New Roman" w:hAnsi="Times New Roman" w:cs="Times New Roman"/>
          <w:sz w:val="24"/>
          <w:szCs w:val="24"/>
        </w:rPr>
        <w:t xml:space="preserve"> the C</w:t>
      </w:r>
      <w:r w:rsidR="00EC7A41">
        <w:rPr>
          <w:rFonts w:ascii="Times New Roman" w:hAnsi="Times New Roman" w:cs="Times New Roman"/>
          <w:sz w:val="24"/>
          <w:szCs w:val="24"/>
        </w:rPr>
        <w:t>anyon Creek Bond documents</w:t>
      </w:r>
      <w:r w:rsidR="006B6D5A">
        <w:rPr>
          <w:rFonts w:ascii="Times New Roman" w:hAnsi="Times New Roman" w:cs="Times New Roman"/>
          <w:sz w:val="24"/>
          <w:szCs w:val="24"/>
        </w:rPr>
        <w:t>.</w:t>
      </w:r>
      <w:r w:rsidR="006B4BE9">
        <w:rPr>
          <w:rFonts w:ascii="Times New Roman" w:hAnsi="Times New Roman" w:cs="Times New Roman"/>
          <w:sz w:val="24"/>
          <w:szCs w:val="24"/>
        </w:rPr>
        <w:t xml:space="preserve"> </w:t>
      </w:r>
      <w:r w:rsidR="00EC7A41">
        <w:rPr>
          <w:rFonts w:ascii="Times New Roman" w:hAnsi="Times New Roman" w:cs="Times New Roman"/>
          <w:sz w:val="24"/>
          <w:szCs w:val="24"/>
        </w:rPr>
        <w:t xml:space="preserve"> Thomas </w:t>
      </w:r>
      <w:proofErr w:type="spellStart"/>
      <w:r w:rsidR="00EC7A41">
        <w:rPr>
          <w:rFonts w:ascii="Times New Roman" w:hAnsi="Times New Roman" w:cs="Times New Roman"/>
          <w:sz w:val="24"/>
          <w:szCs w:val="24"/>
        </w:rPr>
        <w:t>Weihe</w:t>
      </w:r>
      <w:proofErr w:type="spellEnd"/>
      <w:r w:rsidR="00EC7A41">
        <w:rPr>
          <w:rFonts w:ascii="Times New Roman" w:hAnsi="Times New Roman" w:cs="Times New Roman"/>
          <w:sz w:val="24"/>
          <w:szCs w:val="24"/>
        </w:rPr>
        <w:t xml:space="preserve"> from Kutak Rock LLP also gave comments regarding the resolution and agreements.</w:t>
      </w:r>
    </w:p>
    <w:p w:rsidR="00405C8E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373CE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B6D5A">
        <w:rPr>
          <w:rFonts w:ascii="Times New Roman" w:hAnsi="Times New Roman" w:cs="Times New Roman"/>
          <w:sz w:val="24"/>
          <w:szCs w:val="24"/>
        </w:rPr>
        <w:t>Commissioner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401730">
        <w:rPr>
          <w:rFonts w:ascii="Times New Roman" w:hAnsi="Times New Roman" w:cs="Times New Roman"/>
          <w:sz w:val="24"/>
          <w:szCs w:val="24"/>
        </w:rPr>
        <w:t xml:space="preserve">Merv </w:t>
      </w:r>
      <w:r w:rsidR="006B6D5A">
        <w:rPr>
          <w:rFonts w:ascii="Times New Roman" w:hAnsi="Times New Roman" w:cs="Times New Roman"/>
          <w:sz w:val="24"/>
          <w:szCs w:val="24"/>
        </w:rPr>
        <w:t>Bennett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401730">
        <w:rPr>
          <w:rFonts w:ascii="Times New Roman" w:hAnsi="Times New Roman" w:cs="Times New Roman"/>
          <w:sz w:val="24"/>
          <w:szCs w:val="24"/>
        </w:rPr>
        <w:t>Valerie</w:t>
      </w:r>
      <w:r w:rsidR="00E241B7">
        <w:rPr>
          <w:rFonts w:ascii="Times New Roman" w:hAnsi="Times New Roman" w:cs="Times New Roman"/>
          <w:sz w:val="24"/>
          <w:szCs w:val="24"/>
        </w:rPr>
        <w:t xml:space="preserve"> </w:t>
      </w:r>
      <w:r w:rsidR="006B6D5A">
        <w:rPr>
          <w:rFonts w:ascii="Times New Roman" w:hAnsi="Times New Roman" w:cs="Times New Roman"/>
          <w:sz w:val="24"/>
          <w:szCs w:val="24"/>
        </w:rPr>
        <w:t>Hunter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to approve </w:t>
      </w:r>
      <w:r w:rsidR="00567DDB">
        <w:rPr>
          <w:rFonts w:ascii="Times New Roman" w:hAnsi="Times New Roman" w:cs="Times New Roman"/>
          <w:sz w:val="24"/>
          <w:szCs w:val="24"/>
        </w:rPr>
        <w:t>Resolution No. 02-18:</w:t>
      </w:r>
    </w:p>
    <w:p w:rsidR="00567DDB" w:rsidRDefault="00567DD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DDB" w:rsidRDefault="00567DD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RESOLUTION OF THE COLORADO SPRINGS URBAN RENEWAL AUTHORITY APPROVING SENIOR AND SUBORDINATE TAX INCREMENT REVENUE BONDS, AN AMENDED AND RESTATED URBAN RENEWAL AGREEMENT, SENIOR AND SUBORDINATE INDENTURES OF TRUST, A CAPITAL PLEDGE AGREEMENT AND CERTAIN ADDITIONAL DOCUMENTS FOR THE CANYON CREEK PROJECT OF THE SOUTH NEVADA AVENUE AREA URBAN </w:t>
      </w:r>
      <w:r w:rsidR="006B6D5A">
        <w:rPr>
          <w:rFonts w:ascii="Times New Roman" w:hAnsi="Times New Roman" w:cs="Times New Roman"/>
          <w:sz w:val="24"/>
          <w:szCs w:val="24"/>
        </w:rPr>
        <w:t xml:space="preserve">RENEWAL </w:t>
      </w:r>
      <w:r w:rsidR="00401730" w:rsidRPr="00401730">
        <w:rPr>
          <w:rFonts w:ascii="Times New Roman" w:hAnsi="Times New Roman" w:cs="Times New Roman"/>
          <w:sz w:val="24"/>
          <w:szCs w:val="24"/>
        </w:rPr>
        <w:t>PLAN</w:t>
      </w:r>
      <w:r w:rsidR="006B6D5A">
        <w:rPr>
          <w:rFonts w:ascii="Times New Roman" w:hAnsi="Times New Roman" w:cs="Times New Roman"/>
          <w:sz w:val="24"/>
          <w:szCs w:val="24"/>
        </w:rPr>
        <w:t xml:space="preserve"> AND</w:t>
      </w:r>
      <w:r w:rsidR="00FE4665">
        <w:rPr>
          <w:rFonts w:ascii="Times New Roman" w:hAnsi="Times New Roman" w:cs="Times New Roman"/>
          <w:sz w:val="24"/>
          <w:szCs w:val="24"/>
        </w:rPr>
        <w:t xml:space="preserve"> RELAT</w:t>
      </w:r>
      <w:r w:rsidR="00BE70CC">
        <w:rPr>
          <w:rFonts w:ascii="Times New Roman" w:hAnsi="Times New Roman" w:cs="Times New Roman"/>
          <w:sz w:val="24"/>
          <w:szCs w:val="24"/>
        </w:rPr>
        <w:t>ED MATTERS.  The motion passed 9-0</w:t>
      </w:r>
      <w:r w:rsidR="00FE4665">
        <w:rPr>
          <w:rFonts w:ascii="Times New Roman" w:hAnsi="Times New Roman" w:cs="Times New Roman"/>
          <w:sz w:val="24"/>
          <w:szCs w:val="24"/>
        </w:rPr>
        <w:t>.</w:t>
      </w:r>
    </w:p>
    <w:p w:rsidR="00567DDB" w:rsidRDefault="00567DD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E2" w:rsidRDefault="00D72AE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Neville reviewed the policy regarding the allocation of tax increment revenue among the </w:t>
      </w:r>
      <w:r w:rsidR="006B4BE9">
        <w:rPr>
          <w:rFonts w:ascii="Times New Roman" w:hAnsi="Times New Roman" w:cs="Times New Roman"/>
          <w:sz w:val="24"/>
          <w:szCs w:val="24"/>
        </w:rPr>
        <w:t xml:space="preserve">redevelopment areas </w:t>
      </w:r>
      <w:r w:rsidR="00A17301">
        <w:rPr>
          <w:rFonts w:ascii="Times New Roman" w:hAnsi="Times New Roman" w:cs="Times New Roman"/>
          <w:sz w:val="24"/>
          <w:szCs w:val="24"/>
        </w:rPr>
        <w:t xml:space="preserve">in the South Nevada Avenue Urban Renewal Plan areas </w:t>
      </w:r>
      <w:r w:rsidR="006B4BE9">
        <w:rPr>
          <w:rFonts w:ascii="Times New Roman" w:hAnsi="Times New Roman" w:cs="Times New Roman"/>
          <w:sz w:val="24"/>
          <w:szCs w:val="24"/>
        </w:rPr>
        <w:t>and the Authority’s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A17301">
        <w:rPr>
          <w:rFonts w:ascii="Times New Roman" w:hAnsi="Times New Roman" w:cs="Times New Roman"/>
          <w:sz w:val="24"/>
          <w:szCs w:val="24"/>
        </w:rPr>
        <w:t>fee of $60,000 annually.</w:t>
      </w:r>
    </w:p>
    <w:p w:rsidR="006B4BE9" w:rsidRDefault="006B4BE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730" w:rsidRDefault="00401730" w:rsidP="0040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6B6D5A">
        <w:rPr>
          <w:rFonts w:ascii="Times New Roman" w:hAnsi="Times New Roman" w:cs="Times New Roman"/>
          <w:sz w:val="24"/>
          <w:szCs w:val="24"/>
        </w:rPr>
        <w:t>Commissioner Randy Case</w:t>
      </w:r>
      <w:r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Brian Olson to approve the </w:t>
      </w:r>
      <w:r w:rsidR="006A5A20">
        <w:rPr>
          <w:rFonts w:ascii="Times New Roman" w:hAnsi="Times New Roman" w:cs="Times New Roman"/>
          <w:sz w:val="24"/>
          <w:szCs w:val="24"/>
        </w:rPr>
        <w:t>Colorado Springs Urban Renewal Authority policy regarding</w:t>
      </w:r>
      <w:r>
        <w:rPr>
          <w:rFonts w:ascii="Times New Roman" w:hAnsi="Times New Roman" w:cs="Times New Roman"/>
          <w:sz w:val="24"/>
          <w:szCs w:val="24"/>
        </w:rPr>
        <w:t xml:space="preserve"> allocation of </w:t>
      </w:r>
      <w:r w:rsidR="006A5A20">
        <w:rPr>
          <w:rFonts w:ascii="Times New Roman" w:hAnsi="Times New Roman" w:cs="Times New Roman"/>
          <w:sz w:val="24"/>
          <w:szCs w:val="24"/>
        </w:rPr>
        <w:t>tax increment revenue among</w:t>
      </w:r>
      <w:r w:rsidR="00A173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redevelopment areas in the South Nevada Avenue Area Urban Renewal Plan Area.  The motion passed 9-0. </w:t>
      </w:r>
    </w:p>
    <w:p w:rsidR="00401730" w:rsidRDefault="00401730" w:rsidP="004017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1730" w:rsidRDefault="0040173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</w:t>
      </w:r>
      <w:r w:rsidR="006B6D5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Bishop</w:t>
      </w:r>
      <w:r w:rsidR="00DA2873">
        <w:rPr>
          <w:rFonts w:ascii="Times New Roman" w:hAnsi="Times New Roman" w:cs="Times New Roman"/>
          <w:sz w:val="24"/>
          <w:szCs w:val="24"/>
        </w:rPr>
        <w:t>, Managing Director of Public Finance with D.A. Davidson &amp; Company</w:t>
      </w:r>
      <w:r>
        <w:rPr>
          <w:rFonts w:ascii="Times New Roman" w:hAnsi="Times New Roman" w:cs="Times New Roman"/>
          <w:sz w:val="24"/>
          <w:szCs w:val="24"/>
        </w:rPr>
        <w:t xml:space="preserve"> stated a sale delegate </w:t>
      </w:r>
      <w:r w:rsidR="00DA2873">
        <w:rPr>
          <w:rFonts w:ascii="Times New Roman" w:hAnsi="Times New Roman" w:cs="Times New Roman"/>
          <w:sz w:val="24"/>
          <w:szCs w:val="24"/>
        </w:rPr>
        <w:t xml:space="preserve">representing CSURA </w:t>
      </w:r>
      <w:r>
        <w:rPr>
          <w:rFonts w:ascii="Times New Roman" w:hAnsi="Times New Roman" w:cs="Times New Roman"/>
          <w:sz w:val="24"/>
          <w:szCs w:val="24"/>
        </w:rPr>
        <w:t>was needed on the day</w:t>
      </w:r>
      <w:r w:rsidR="00DA2873">
        <w:rPr>
          <w:rFonts w:ascii="Times New Roman" w:hAnsi="Times New Roman" w:cs="Times New Roman"/>
          <w:sz w:val="24"/>
          <w:szCs w:val="24"/>
        </w:rPr>
        <w:t xml:space="preserve"> of the bonds sale of May 2, 2018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A2873">
        <w:rPr>
          <w:rFonts w:ascii="Times New Roman" w:hAnsi="Times New Roman" w:cs="Times New Roman"/>
          <w:sz w:val="24"/>
          <w:szCs w:val="24"/>
        </w:rPr>
        <w:t xml:space="preserve">Chair Wynne Palermo and Executive Director Jariah Walker will </w:t>
      </w:r>
      <w:r w:rsidR="008E3053">
        <w:rPr>
          <w:rFonts w:ascii="Times New Roman" w:hAnsi="Times New Roman" w:cs="Times New Roman"/>
          <w:sz w:val="24"/>
          <w:szCs w:val="24"/>
        </w:rPr>
        <w:t>act as the sale delegate</w:t>
      </w:r>
      <w:r w:rsidR="00DA2873">
        <w:rPr>
          <w:rFonts w:ascii="Times New Roman" w:hAnsi="Times New Roman" w:cs="Times New Roman"/>
          <w:sz w:val="24"/>
          <w:szCs w:val="24"/>
        </w:rPr>
        <w:t>s.</w:t>
      </w:r>
      <w:r w:rsidR="008E30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1730" w:rsidRPr="005C72F1" w:rsidRDefault="00401730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DA2873">
        <w:rPr>
          <w:rFonts w:ascii="Times New Roman" w:hAnsi="Times New Roman" w:cs="Times New Roman"/>
          <w:sz w:val="24"/>
          <w:szCs w:val="24"/>
        </w:rPr>
        <w:t xml:space="preserve"> at </w:t>
      </w:r>
      <w:r w:rsidR="00E7206E">
        <w:rPr>
          <w:rFonts w:ascii="Times New Roman" w:hAnsi="Times New Roman" w:cs="Times New Roman"/>
          <w:sz w:val="24"/>
          <w:szCs w:val="24"/>
        </w:rPr>
        <w:t>9:05</w:t>
      </w:r>
      <w:r w:rsidR="00927FAE">
        <w:rPr>
          <w:rFonts w:ascii="Times New Roman" w:hAnsi="Times New Roman" w:cs="Times New Roman"/>
          <w:sz w:val="24"/>
          <w:szCs w:val="24"/>
        </w:rPr>
        <w:t xml:space="preserve"> </w:t>
      </w:r>
      <w:r w:rsidR="00567DD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.m.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CF4A8F">
        <w:rPr>
          <w:rFonts w:ascii="Times New Roman" w:hAnsi="Times New Roman" w:cs="Times New Roman"/>
          <w:sz w:val="24"/>
          <w:szCs w:val="24"/>
        </w:rPr>
        <w:t>April 25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Hall, Pikes Peak Conference Room, </w:t>
      </w:r>
      <w:proofErr w:type="gramStart"/>
      <w:r w:rsidR="00DA362A">
        <w:rPr>
          <w:rFonts w:ascii="Times New Roman" w:hAnsi="Times New Roman" w:cs="Times New Roman"/>
          <w:sz w:val="24"/>
          <w:szCs w:val="24"/>
        </w:rPr>
        <w:t>Suite</w:t>
      </w:r>
      <w:proofErr w:type="gramEnd"/>
      <w:r w:rsidR="00DA362A">
        <w:rPr>
          <w:rFonts w:ascii="Times New Roman" w:hAnsi="Times New Roman" w:cs="Times New Roman"/>
          <w:sz w:val="24"/>
          <w:szCs w:val="24"/>
        </w:rPr>
        <w:t xml:space="preserve">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North Nevada Avenue at 11:00 – 1:00 P.M.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6A5A2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DF8" w:rsidRDefault="00584DF8" w:rsidP="00382B29">
      <w:pPr>
        <w:spacing w:after="0" w:line="240" w:lineRule="auto"/>
      </w:pPr>
      <w:r>
        <w:separator/>
      </w:r>
    </w:p>
  </w:endnote>
  <w:endnote w:type="continuationSeparator" w:id="0">
    <w:p w:rsidR="00584DF8" w:rsidRDefault="00584DF8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DF8" w:rsidRDefault="00584DF8" w:rsidP="00382B29">
      <w:pPr>
        <w:spacing w:after="0" w:line="240" w:lineRule="auto"/>
      </w:pPr>
      <w:r>
        <w:separator/>
      </w:r>
    </w:p>
  </w:footnote>
  <w:footnote w:type="continuationSeparator" w:id="0">
    <w:p w:rsidR="00584DF8" w:rsidRDefault="00584DF8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FE4665">
    <w:pPr>
      <w:pStyle w:val="Header"/>
      <w:rPr>
        <w:b/>
        <w:u w:val="single"/>
      </w:rPr>
    </w:pPr>
    <w:r>
      <w:rPr>
        <w:b/>
        <w:u w:val="single"/>
      </w:rPr>
      <w:t>SPECIAL CSURA</w:t>
    </w:r>
    <w:r w:rsidR="003F6678">
      <w:rPr>
        <w:b/>
        <w:u w:val="single"/>
      </w:rPr>
      <w:t xml:space="preserve"> Meeting Minutes of </w:t>
    </w:r>
    <w:r>
      <w:rPr>
        <w:b/>
        <w:u w:val="single"/>
      </w:rPr>
      <w:t>April 17</w:t>
    </w:r>
    <w:r w:rsidR="00091C11">
      <w:rPr>
        <w:b/>
        <w:u w:val="single"/>
      </w:rPr>
      <w:t>, 2018</w:t>
    </w:r>
    <w:r>
      <w:rPr>
        <w:b/>
        <w:u w:val="single"/>
      </w:rPr>
      <w:t xml:space="preserve"> (DRAFT)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11DAA" wp14:editId="7E1BC345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1F16F8" wp14:editId="65C0E6F5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34692E0E" wp14:editId="42189BE3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5A2C"/>
    <w:rsid w:val="000D6C94"/>
    <w:rsid w:val="00141F1A"/>
    <w:rsid w:val="0015283C"/>
    <w:rsid w:val="001574DA"/>
    <w:rsid w:val="001934C7"/>
    <w:rsid w:val="00194254"/>
    <w:rsid w:val="00194D3A"/>
    <w:rsid w:val="001A3042"/>
    <w:rsid w:val="001B1A9F"/>
    <w:rsid w:val="002152D7"/>
    <w:rsid w:val="00235F86"/>
    <w:rsid w:val="002404C5"/>
    <w:rsid w:val="00276840"/>
    <w:rsid w:val="002A2403"/>
    <w:rsid w:val="002D3950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D1F0F"/>
    <w:rsid w:val="003F6678"/>
    <w:rsid w:val="00401730"/>
    <w:rsid w:val="004017B6"/>
    <w:rsid w:val="00405C8E"/>
    <w:rsid w:val="00455EFC"/>
    <w:rsid w:val="0047010B"/>
    <w:rsid w:val="004F43D0"/>
    <w:rsid w:val="005003A4"/>
    <w:rsid w:val="00526E6D"/>
    <w:rsid w:val="00535FFC"/>
    <w:rsid w:val="0054515D"/>
    <w:rsid w:val="00545BBB"/>
    <w:rsid w:val="00551474"/>
    <w:rsid w:val="00551D9B"/>
    <w:rsid w:val="00555DE9"/>
    <w:rsid w:val="00567DDB"/>
    <w:rsid w:val="00582382"/>
    <w:rsid w:val="00584DF8"/>
    <w:rsid w:val="005C2DB5"/>
    <w:rsid w:val="005C6B7B"/>
    <w:rsid w:val="00623FC3"/>
    <w:rsid w:val="0064370F"/>
    <w:rsid w:val="006542AD"/>
    <w:rsid w:val="006668D3"/>
    <w:rsid w:val="006811ED"/>
    <w:rsid w:val="00686D63"/>
    <w:rsid w:val="00696DE1"/>
    <w:rsid w:val="00697EF4"/>
    <w:rsid w:val="006A5A20"/>
    <w:rsid w:val="006B4BE9"/>
    <w:rsid w:val="006B6D5A"/>
    <w:rsid w:val="00703F0C"/>
    <w:rsid w:val="00726318"/>
    <w:rsid w:val="0073517A"/>
    <w:rsid w:val="00741574"/>
    <w:rsid w:val="00752E84"/>
    <w:rsid w:val="00755E79"/>
    <w:rsid w:val="007B0E8E"/>
    <w:rsid w:val="007B1A5E"/>
    <w:rsid w:val="007B21F0"/>
    <w:rsid w:val="007C4B61"/>
    <w:rsid w:val="007F0C9B"/>
    <w:rsid w:val="007F1FD2"/>
    <w:rsid w:val="0081359E"/>
    <w:rsid w:val="00832AAD"/>
    <w:rsid w:val="008460BB"/>
    <w:rsid w:val="008803B3"/>
    <w:rsid w:val="00884B46"/>
    <w:rsid w:val="008879C4"/>
    <w:rsid w:val="008E3053"/>
    <w:rsid w:val="00914654"/>
    <w:rsid w:val="00927FAE"/>
    <w:rsid w:val="00940B16"/>
    <w:rsid w:val="009734F2"/>
    <w:rsid w:val="00991E27"/>
    <w:rsid w:val="009B0A72"/>
    <w:rsid w:val="009C37E3"/>
    <w:rsid w:val="009D61CC"/>
    <w:rsid w:val="00A05C12"/>
    <w:rsid w:val="00A17301"/>
    <w:rsid w:val="00A33125"/>
    <w:rsid w:val="00A4435D"/>
    <w:rsid w:val="00A45583"/>
    <w:rsid w:val="00A46DD4"/>
    <w:rsid w:val="00A52472"/>
    <w:rsid w:val="00A765A2"/>
    <w:rsid w:val="00A775FB"/>
    <w:rsid w:val="00A90E71"/>
    <w:rsid w:val="00AF2C74"/>
    <w:rsid w:val="00AF49E5"/>
    <w:rsid w:val="00B410CE"/>
    <w:rsid w:val="00B425E3"/>
    <w:rsid w:val="00B6316C"/>
    <w:rsid w:val="00B75B7B"/>
    <w:rsid w:val="00BB7767"/>
    <w:rsid w:val="00BD26DD"/>
    <w:rsid w:val="00BE63AA"/>
    <w:rsid w:val="00BE70CC"/>
    <w:rsid w:val="00C20FD1"/>
    <w:rsid w:val="00C56D9D"/>
    <w:rsid w:val="00C67FAA"/>
    <w:rsid w:val="00C9565B"/>
    <w:rsid w:val="00CA353F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76B3"/>
    <w:rsid w:val="00D340A3"/>
    <w:rsid w:val="00D373CE"/>
    <w:rsid w:val="00D53513"/>
    <w:rsid w:val="00D53CC5"/>
    <w:rsid w:val="00D72AE2"/>
    <w:rsid w:val="00D761B5"/>
    <w:rsid w:val="00D9601C"/>
    <w:rsid w:val="00DA0E69"/>
    <w:rsid w:val="00DA2873"/>
    <w:rsid w:val="00DA362A"/>
    <w:rsid w:val="00DC3BD1"/>
    <w:rsid w:val="00DD569D"/>
    <w:rsid w:val="00DD5765"/>
    <w:rsid w:val="00DE0ACC"/>
    <w:rsid w:val="00DE58BE"/>
    <w:rsid w:val="00DF7B91"/>
    <w:rsid w:val="00E23BF1"/>
    <w:rsid w:val="00E241B7"/>
    <w:rsid w:val="00E51B0A"/>
    <w:rsid w:val="00E52D0E"/>
    <w:rsid w:val="00E550AD"/>
    <w:rsid w:val="00E7206E"/>
    <w:rsid w:val="00E801A8"/>
    <w:rsid w:val="00EC7344"/>
    <w:rsid w:val="00EC7A41"/>
    <w:rsid w:val="00ED689A"/>
    <w:rsid w:val="00EE1904"/>
    <w:rsid w:val="00EF432F"/>
    <w:rsid w:val="00F16764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B3F92"/>
    <w:rsid w:val="00FB67C1"/>
    <w:rsid w:val="00FC3742"/>
    <w:rsid w:val="00FD28D2"/>
    <w:rsid w:val="00FD3211"/>
    <w:rsid w:val="00FD61F9"/>
    <w:rsid w:val="00FE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EBA05-FF79-4243-B810-EF27586B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7</cp:revision>
  <cp:lastPrinted>2017-09-22T21:36:00Z</cp:lastPrinted>
  <dcterms:created xsi:type="dcterms:W3CDTF">2018-04-17T16:25:00Z</dcterms:created>
  <dcterms:modified xsi:type="dcterms:W3CDTF">2018-04-18T18:30:00Z</dcterms:modified>
</cp:coreProperties>
</file>