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681" w14:textId="1A965B56" w:rsidR="0088133B" w:rsidRDefault="00294B0C">
      <w:r>
        <w:t>Staff Notes agenda item</w:t>
      </w:r>
      <w:r w:rsidR="0047310B">
        <w:t xml:space="preserve"> 6</w:t>
      </w:r>
    </w:p>
    <w:p w14:paraId="1D8A85D0" w14:textId="663C3043" w:rsidR="00294B0C" w:rsidRDefault="00294B0C"/>
    <w:p w14:paraId="621EBA8A" w14:textId="6EF98E22" w:rsidR="00294B0C" w:rsidRDefault="00294B0C" w:rsidP="00294B0C">
      <w:pPr>
        <w:autoSpaceDE w:val="0"/>
        <w:autoSpaceDN w:val="0"/>
        <w:adjustRightInd w:val="0"/>
        <w:spacing w:after="0" w:line="240" w:lineRule="auto"/>
        <w:rPr>
          <w:rFonts w:ascii="Calibri" w:hAnsi="Calibri" w:cs="Calibri"/>
        </w:rPr>
      </w:pPr>
      <w:r>
        <w:t xml:space="preserve">In front of the board today is an </w:t>
      </w:r>
      <w:r w:rsidR="0047310B">
        <w:t xml:space="preserve">engagement letter </w:t>
      </w:r>
      <w:r w:rsidR="00993960">
        <w:t xml:space="preserve">with EPS consulting for beginning URA due diligence </w:t>
      </w:r>
      <w:r w:rsidR="002E331C">
        <w:t xml:space="preserve">on Kevin </w:t>
      </w:r>
      <w:r w:rsidR="00F45822">
        <w:t>O’Neil’s</w:t>
      </w:r>
      <w:r w:rsidR="002E331C">
        <w:t xml:space="preserve"> proposed project that was presented at our Oct board meeting. The project </w:t>
      </w:r>
      <w:r>
        <w:rPr>
          <w:rFonts w:ascii="Calibri" w:hAnsi="Calibri" w:cs="Calibri"/>
        </w:rPr>
        <w:t xml:space="preserve">includes two </w:t>
      </w:r>
      <w:r w:rsidR="00D94F91">
        <w:rPr>
          <w:rFonts w:ascii="Calibri" w:hAnsi="Calibri" w:cs="Calibri"/>
        </w:rPr>
        <w:t xml:space="preserve">main </w:t>
      </w:r>
      <w:r>
        <w:rPr>
          <w:rFonts w:ascii="Calibri" w:hAnsi="Calibri" w:cs="Calibri"/>
        </w:rPr>
        <w:t xml:space="preserve">components, a 25-story residential </w:t>
      </w:r>
      <w:r w:rsidR="00D94F91">
        <w:rPr>
          <w:rFonts w:ascii="Calibri" w:hAnsi="Calibri" w:cs="Calibri"/>
        </w:rPr>
        <w:t xml:space="preserve">building </w:t>
      </w:r>
      <w:r>
        <w:rPr>
          <w:rFonts w:ascii="Calibri" w:hAnsi="Calibri" w:cs="Calibri"/>
        </w:rPr>
        <w:t xml:space="preserve">and a 11-story office </w:t>
      </w:r>
      <w:r w:rsidR="00D94F91">
        <w:rPr>
          <w:rFonts w:ascii="Calibri" w:hAnsi="Calibri" w:cs="Calibri"/>
        </w:rPr>
        <w:t>building</w:t>
      </w:r>
      <w:r>
        <w:rPr>
          <w:rFonts w:ascii="Calibri" w:hAnsi="Calibri" w:cs="Calibri"/>
        </w:rPr>
        <w:t xml:space="preserve">. The </w:t>
      </w:r>
      <w:r w:rsidR="00D94F91">
        <w:rPr>
          <w:rFonts w:ascii="Calibri" w:hAnsi="Calibri" w:cs="Calibri"/>
        </w:rPr>
        <w:t>buildings</w:t>
      </w:r>
      <w:r>
        <w:rPr>
          <w:rFonts w:ascii="Calibri" w:hAnsi="Calibri" w:cs="Calibri"/>
        </w:rPr>
        <w:t xml:space="preserve"> are planned for two separate assemblages both located on the block bound by Sahwatch to the west, Cascade to the east, Costilla to the south, and </w:t>
      </w:r>
      <w:proofErr w:type="spellStart"/>
      <w:r>
        <w:rPr>
          <w:rFonts w:ascii="Calibri" w:hAnsi="Calibri" w:cs="Calibri"/>
        </w:rPr>
        <w:t>Vermijo</w:t>
      </w:r>
      <w:proofErr w:type="spellEnd"/>
      <w:r>
        <w:rPr>
          <w:rFonts w:ascii="Calibri" w:hAnsi="Calibri" w:cs="Calibri"/>
        </w:rPr>
        <w:t xml:space="preserve"> to the north.</w:t>
      </w:r>
    </w:p>
    <w:p w14:paraId="6294D743" w14:textId="77777777" w:rsidR="00294B0C" w:rsidRDefault="00294B0C" w:rsidP="00294B0C">
      <w:pPr>
        <w:autoSpaceDE w:val="0"/>
        <w:autoSpaceDN w:val="0"/>
        <w:adjustRightInd w:val="0"/>
        <w:spacing w:after="0" w:line="240" w:lineRule="auto"/>
        <w:rPr>
          <w:rFonts w:ascii="Calibri" w:hAnsi="Calibri" w:cs="Calibri"/>
        </w:rPr>
      </w:pPr>
    </w:p>
    <w:p w14:paraId="4FE73DA3" w14:textId="2B4A75C5"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The commercial component of the project is planned for the northeast corner of the block on</w:t>
      </w:r>
    </w:p>
    <w:p w14:paraId="730E5B42" w14:textId="4C53E81B"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 xml:space="preserve">parcels currently addressed as 310 S. Cascade Ave. and 11 W. </w:t>
      </w:r>
      <w:proofErr w:type="spellStart"/>
      <w:r>
        <w:rPr>
          <w:rFonts w:ascii="Calibri" w:hAnsi="Calibri" w:cs="Calibri"/>
        </w:rPr>
        <w:t>Vermijo</w:t>
      </w:r>
      <w:proofErr w:type="spellEnd"/>
      <w:r>
        <w:rPr>
          <w:rFonts w:ascii="Calibri" w:hAnsi="Calibri" w:cs="Calibri"/>
        </w:rPr>
        <w:t xml:space="preserve"> Ave. (This site sits within the Museum &amp; Park URA where the TIF funds have already been pledged to Norwood).</w:t>
      </w:r>
    </w:p>
    <w:p w14:paraId="281B660F" w14:textId="76CE9E84"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 xml:space="preserve">The residential component of the project will be sited at the southwest corner of the block on parcels currently addressed as 14, 20, 22, and 30 W. Costilla. (This site sits within the </w:t>
      </w:r>
      <w:r w:rsidR="000919CF">
        <w:rPr>
          <w:rFonts w:ascii="Calibri" w:hAnsi="Calibri" w:cs="Calibri"/>
        </w:rPr>
        <w:t xml:space="preserve">existing </w:t>
      </w:r>
      <w:r>
        <w:rPr>
          <w:rFonts w:ascii="Calibri" w:hAnsi="Calibri" w:cs="Calibri"/>
        </w:rPr>
        <w:t>Southwest Downtown URA)</w:t>
      </w:r>
      <w:r w:rsidR="00F45822">
        <w:rPr>
          <w:rFonts w:ascii="Calibri" w:hAnsi="Calibri" w:cs="Calibri"/>
        </w:rPr>
        <w:t>.</w:t>
      </w:r>
    </w:p>
    <w:p w14:paraId="279F74A4" w14:textId="77777777" w:rsidR="00294B0C" w:rsidRDefault="00294B0C" w:rsidP="00294B0C">
      <w:pPr>
        <w:autoSpaceDE w:val="0"/>
        <w:autoSpaceDN w:val="0"/>
        <w:adjustRightInd w:val="0"/>
        <w:spacing w:after="0" w:line="240" w:lineRule="auto"/>
        <w:rPr>
          <w:rFonts w:ascii="Calibri" w:hAnsi="Calibri" w:cs="Calibri"/>
        </w:rPr>
      </w:pPr>
    </w:p>
    <w:p w14:paraId="7D30B7F4" w14:textId="79D8B53C" w:rsidR="00294B0C" w:rsidRPr="00294B0C" w:rsidRDefault="00294B0C" w:rsidP="00294B0C">
      <w:pPr>
        <w:rPr>
          <w:rFonts w:ascii="Calibri" w:hAnsi="Calibri" w:cs="Calibri"/>
        </w:rPr>
      </w:pPr>
    </w:p>
    <w:sectPr w:rsidR="00294B0C" w:rsidRPr="0029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0C"/>
    <w:rsid w:val="000919CF"/>
    <w:rsid w:val="00294B0C"/>
    <w:rsid w:val="002E331C"/>
    <w:rsid w:val="00423FC0"/>
    <w:rsid w:val="0047310B"/>
    <w:rsid w:val="0088133B"/>
    <w:rsid w:val="00993960"/>
    <w:rsid w:val="00D94F91"/>
    <w:rsid w:val="00F4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628"/>
  <w15:chartTrackingRefBased/>
  <w15:docId w15:val="{D61C432E-D554-4FB6-9E88-FBE861A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Company>City of Colorado Springs</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2021-12-04T00:39:00Z</dcterms:created>
  <dcterms:modified xsi:type="dcterms:W3CDTF">2021-12-04T00:39:00Z</dcterms:modified>
</cp:coreProperties>
</file>