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DC72" w14:textId="77777777" w:rsidR="0086452B" w:rsidRPr="0034214E" w:rsidRDefault="0086452B" w:rsidP="0086452B">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bookmarkStart w:id="0" w:name="_GoBack"/>
      <w:bookmarkEnd w:id="0"/>
      <w:r w:rsidRPr="0034214E">
        <w:t>URBAN RENEWAL AGREEMENT FOR DEVELOPMENT</w:t>
      </w:r>
    </w:p>
    <w:p w14:paraId="4D35B184" w14:textId="77777777" w:rsidR="0086452B" w:rsidRPr="0034214E" w:rsidRDefault="0086452B" w:rsidP="0086452B">
      <w:pPr>
        <w:ind w:firstLine="0"/>
        <w:jc w:val="center"/>
      </w:pPr>
      <w:r w:rsidRPr="0034214E">
        <w:t xml:space="preserve">OF THE </w:t>
      </w:r>
      <w:r>
        <w:t>MUSEUM &amp; PARK</w:t>
      </w:r>
      <w:r w:rsidRPr="0034214E">
        <w:t xml:space="preserve"> URBAN RENEWAL AREA</w:t>
      </w:r>
    </w:p>
    <w:p w14:paraId="1FE80652" w14:textId="3193CE81" w:rsidR="0086452B" w:rsidRPr="0034214E" w:rsidRDefault="0086452B" w:rsidP="0086452B">
      <w:r w:rsidRPr="0034214E">
        <w:tab/>
        <w:t xml:space="preserve">THIS URBAN RENEWAL AGREEMENT (the “Agreement”) FOR DEVELOPMENT OF THE </w:t>
      </w:r>
      <w:r>
        <w:t>MUSEUM &amp; PARK</w:t>
      </w:r>
      <w:r w:rsidRPr="0034214E">
        <w:t xml:space="preserve"> URBAN RENEWAL AREA is made as of </w:t>
      </w:r>
      <w:r>
        <w:t>______________</w:t>
      </w:r>
      <w:r w:rsidRPr="0034214E">
        <w:t xml:space="preserve">, </w:t>
      </w:r>
      <w:r w:rsidR="00FD6707">
        <w:t>2020</w:t>
      </w:r>
      <w:r w:rsidRPr="0034214E">
        <w:t xml:space="preserve">, by and </w:t>
      </w:r>
      <w:r>
        <w:t>among</w:t>
      </w:r>
      <w:r w:rsidRPr="0034214E">
        <w:t xml:space="preserve"> the COLORADO SPRINGS URBAN RENEWAL AUTHORITY, a body corporate and politic of the State of Colorado (the “Authority”), </w:t>
      </w:r>
      <w:r w:rsidR="007C4489" w:rsidRPr="007C4489">
        <w:t>INTERURBAN DEVELOPMENT COMPANY, LLC</w:t>
      </w:r>
      <w:r>
        <w:t xml:space="preserve">, a </w:t>
      </w:r>
      <w:r w:rsidR="007C4489">
        <w:t>Colorado limited liability company</w:t>
      </w:r>
      <w:r>
        <w:t xml:space="preserve"> </w:t>
      </w:r>
      <w:r w:rsidRPr="0034214E">
        <w:t>(the “Developer”)</w:t>
      </w:r>
      <w:r>
        <w:t xml:space="preserve">, and the </w:t>
      </w:r>
      <w:r w:rsidR="007C4489">
        <w:t xml:space="preserve">SW DOWNTOWN BUSINESS IMPROVEMENT DISTRICT </w:t>
      </w:r>
      <w:r>
        <w:t xml:space="preserve">(“BID”), a </w:t>
      </w:r>
      <w:r w:rsidR="004544BC" w:rsidRPr="004544BC">
        <w:t xml:space="preserve">quasi-municipal corporation and political subdivision of the State of Colorado </w:t>
      </w:r>
      <w:r w:rsidRPr="0034214E">
        <w:t>(the Authority</w:t>
      </w:r>
      <w:r>
        <w:t>,</w:t>
      </w:r>
      <w:r w:rsidRPr="0034214E">
        <w:t xml:space="preserve"> Developer </w:t>
      </w:r>
      <w:r>
        <w:t xml:space="preserve">and BID </w:t>
      </w:r>
      <w:r w:rsidRPr="0034214E">
        <w:t>are also referred to herein collectively as the “Parties” or individually as a “Party”).</w:t>
      </w:r>
    </w:p>
    <w:p w14:paraId="23474AD0" w14:textId="77777777" w:rsidR="0086452B" w:rsidRPr="0034214E" w:rsidRDefault="0086452B" w:rsidP="0086452B">
      <w:pPr>
        <w:ind w:firstLine="0"/>
        <w:jc w:val="center"/>
        <w:rPr>
          <w:b/>
        </w:rPr>
      </w:pPr>
      <w:r w:rsidRPr="0034214E">
        <w:rPr>
          <w:b/>
        </w:rPr>
        <w:t>RECITALS</w:t>
      </w:r>
    </w:p>
    <w:p w14:paraId="010DCAEF" w14:textId="77777777" w:rsidR="0086452B" w:rsidRPr="0034214E" w:rsidRDefault="0086452B">
      <w:r w:rsidRPr="0034214E">
        <w:t>A.</w:t>
      </w:r>
      <w:r w:rsidRPr="0034214E">
        <w:tab/>
        <w:t>The Authority is an Urban Renewal Authority formed and created by the City Council, City of Colorado Springs, County of El Paso, Colorado.</w:t>
      </w:r>
    </w:p>
    <w:p w14:paraId="092EDD3D" w14:textId="076F0A0D" w:rsidR="0086452B" w:rsidRPr="0034214E" w:rsidRDefault="0086452B">
      <w:r w:rsidRPr="0034214E">
        <w:t>B.</w:t>
      </w:r>
      <w:r w:rsidRPr="0034214E">
        <w:tab/>
        <w:t>The Developer</w:t>
      </w:r>
      <w:r>
        <w:t xml:space="preserve"> owns,</w:t>
      </w:r>
      <w:r w:rsidRPr="0034214E">
        <w:t xml:space="preserve"> or </w:t>
      </w:r>
      <w:r>
        <w:t xml:space="preserve">through </w:t>
      </w:r>
      <w:r w:rsidRPr="0034214E">
        <w:t>its Affiliate</w:t>
      </w:r>
      <w:r w:rsidR="00A47479">
        <w:t>s</w:t>
      </w:r>
      <w:r w:rsidRPr="0034214E">
        <w:t xml:space="preserve"> </w:t>
      </w:r>
      <w:r>
        <w:t xml:space="preserve">(as defined below) controls, </w:t>
      </w:r>
      <w:r w:rsidRPr="0034214E">
        <w:t xml:space="preserve">certain real property 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w:t>
      </w:r>
      <w:r>
        <w:t>Museum &amp; Park</w:t>
      </w:r>
      <w:r w:rsidRPr="0034214E">
        <w:t xml:space="preserve"> Urban Renewal Plan adopted by the City Council of the City of Colorado Springs, Colorado (the “City”) on December 11, 2018 (the “Urban Renewal Plan”).</w:t>
      </w:r>
    </w:p>
    <w:p w14:paraId="65EA194B" w14:textId="585E1573" w:rsidR="0086452B" w:rsidRDefault="0086452B">
      <w:r w:rsidRPr="0034214E">
        <w:t>C.</w:t>
      </w:r>
      <w:r w:rsidRPr="0034214E">
        <w:tab/>
      </w:r>
      <w:r>
        <w:t xml:space="preserve">The BID is a business improvement district with boundaries contiguous to the Urban Renewal Plan boundaries, organized and authorized pursuant to Colorado Revised Statutes §§31-25-801 </w:t>
      </w:r>
      <w:r w:rsidRPr="00AA6CF8">
        <w:rPr>
          <w:i/>
        </w:rPr>
        <w:t>et seq</w:t>
      </w:r>
      <w:r>
        <w:t xml:space="preserve">., (the </w:t>
      </w:r>
      <w:r w:rsidR="007C4489">
        <w:t>“</w:t>
      </w:r>
      <w:r>
        <w:t>BID Act”) for the purposes set forth in its Operating Plan.</w:t>
      </w:r>
    </w:p>
    <w:p w14:paraId="60D9370F" w14:textId="43FF7BFA" w:rsidR="0086452B" w:rsidRDefault="0086452B" w:rsidP="0086452B">
      <w:r>
        <w:t>D.</w:t>
      </w:r>
      <w:r>
        <w:tab/>
      </w:r>
      <w:r w:rsidRPr="0034214E">
        <w:t>The Developer intends to develop the Property</w:t>
      </w:r>
      <w:r>
        <w:t>, or cause the Property to be developed,</w:t>
      </w:r>
      <w:r w:rsidRPr="0034214E">
        <w:t xml:space="preserve"> substantially in accordance with the Concept Plan (as it applies to the Property and any additions to the Property as the Parties may agree are to be included in this Agreement) depicted in </w:t>
      </w:r>
      <w:r>
        <w:t>the Concept Plan (the “Concept Plan”), w</w:t>
      </w:r>
      <w:r w:rsidRPr="0034214E">
        <w:t xml:space="preserve">hich Concept Plan is incorporated in and made a part of this Agreement </w:t>
      </w:r>
      <w:r>
        <w:t xml:space="preserve">as </w:t>
      </w:r>
      <w:r w:rsidRPr="008158CB">
        <w:rPr>
          <w:u w:val="single"/>
        </w:rPr>
        <w:t>Exhibit A1</w:t>
      </w:r>
      <w:r w:rsidRPr="0034214E">
        <w:t xml:space="preserve">.  The Concept Plan </w:t>
      </w:r>
      <w:r>
        <w:t>may</w:t>
      </w:r>
      <w:r w:rsidRPr="0034214E">
        <w:t xml:space="preserve"> be supplemented, updated, and clarified in accordance with Section </w:t>
      </w:r>
      <w:r w:rsidRPr="00A75E1B">
        <w:t>1</w:t>
      </w:r>
      <w:r w:rsidR="00A75E1B" w:rsidRPr="00A75E1B">
        <w:t>4</w:t>
      </w:r>
      <w:r w:rsidRPr="00A75E1B">
        <w:t>.12</w:t>
      </w:r>
      <w:r w:rsidRPr="0034214E">
        <w:t xml:space="preserve"> as to its more speci</w:t>
      </w:r>
      <w:r>
        <w:t>fic application to the Property</w:t>
      </w:r>
      <w:r w:rsidRPr="0034214E">
        <w:t>.</w:t>
      </w:r>
    </w:p>
    <w:p w14:paraId="082236AF" w14:textId="77777777" w:rsidR="0086452B" w:rsidRDefault="0086452B" w:rsidP="0086452B">
      <w:r>
        <w:t>E</w:t>
      </w:r>
      <w:r w:rsidRPr="0034214E">
        <w:t>.</w:t>
      </w:r>
      <w:r w:rsidRPr="0034214E">
        <w:tab/>
      </w:r>
      <w:r>
        <w:t>The Developer has already undertaken various activities in furtherance of the Project Vision including but not limited to the following:</w:t>
      </w:r>
    </w:p>
    <w:p w14:paraId="23989132" w14:textId="7B68F716" w:rsidR="0086452B" w:rsidRDefault="0086452B" w:rsidP="0086452B">
      <w:pPr>
        <w:pStyle w:val="ListNumber"/>
        <w:numPr>
          <w:ilvl w:val="0"/>
          <w:numId w:val="12"/>
        </w:numPr>
        <w:spacing w:after="0"/>
      </w:pPr>
      <w:r>
        <w:t xml:space="preserve">Donated the land for the </w:t>
      </w:r>
      <w:r w:rsidR="0067369F">
        <w:t xml:space="preserve">U.S. Olympic and Paralympic </w:t>
      </w:r>
      <w:r>
        <w:t>Museum</w:t>
      </w:r>
      <w:r w:rsidR="0067369F">
        <w:t xml:space="preserve"> and Hall of Fame (“Museum”</w:t>
      </w:r>
      <w:proofErr w:type="gramStart"/>
      <w:r w:rsidR="0067369F">
        <w:t>)</w:t>
      </w:r>
      <w:r>
        <w:t>;</w:t>
      </w:r>
      <w:proofErr w:type="gramEnd"/>
    </w:p>
    <w:p w14:paraId="2F06F8CB" w14:textId="54FD2FA4" w:rsidR="0086452B" w:rsidRDefault="0086452B" w:rsidP="0086452B">
      <w:pPr>
        <w:pStyle w:val="ListNumber"/>
        <w:numPr>
          <w:ilvl w:val="0"/>
          <w:numId w:val="12"/>
        </w:numPr>
        <w:spacing w:after="0"/>
      </w:pPr>
      <w:r>
        <w:t>Served on the committee to build the Museum, and in that capacity have contributed to raising more than $20</w:t>
      </w:r>
      <w:r w:rsidR="0067369F">
        <w:t xml:space="preserve"> million</w:t>
      </w:r>
      <w:r>
        <w:t xml:space="preserve"> for the </w:t>
      </w:r>
      <w:proofErr w:type="gramStart"/>
      <w:r>
        <w:t>Museum;</w:t>
      </w:r>
      <w:proofErr w:type="gramEnd"/>
    </w:p>
    <w:p w14:paraId="39833E1E" w14:textId="3392E663" w:rsidR="0086452B" w:rsidRDefault="0086452B" w:rsidP="0086452B">
      <w:pPr>
        <w:pStyle w:val="ListNumber"/>
        <w:numPr>
          <w:ilvl w:val="0"/>
          <w:numId w:val="12"/>
        </w:numPr>
        <w:spacing w:after="0"/>
      </w:pPr>
      <w:r>
        <w:t xml:space="preserve">Along with other funding partners, advanced funds to the City for an application to the State of Colorado for an award of incremental state sales tax revenues pursuant to the Regional Tourism </w:t>
      </w:r>
      <w:proofErr w:type="gramStart"/>
      <w:r>
        <w:t>Act;</w:t>
      </w:r>
      <w:proofErr w:type="gramEnd"/>
    </w:p>
    <w:p w14:paraId="7AF2CB7A" w14:textId="77777777" w:rsidR="0086452B" w:rsidRDefault="0086452B" w:rsidP="0086452B">
      <w:pPr>
        <w:pStyle w:val="ListNumber"/>
        <w:numPr>
          <w:ilvl w:val="0"/>
          <w:numId w:val="12"/>
        </w:numPr>
        <w:spacing w:after="0"/>
      </w:pPr>
      <w:r>
        <w:lastRenderedPageBreak/>
        <w:t xml:space="preserve">Advanced funds for master planning design work for the Museum and the property surrounding the Museum, a portion of which is addressed in this </w:t>
      </w:r>
      <w:proofErr w:type="gramStart"/>
      <w:r>
        <w:t>Agreement;</w:t>
      </w:r>
      <w:proofErr w:type="gramEnd"/>
      <w:r>
        <w:t xml:space="preserve"> </w:t>
      </w:r>
    </w:p>
    <w:p w14:paraId="4F750B91" w14:textId="77777777" w:rsidR="0086452B" w:rsidRDefault="0086452B" w:rsidP="0086452B">
      <w:pPr>
        <w:pStyle w:val="ListNumber"/>
        <w:numPr>
          <w:ilvl w:val="0"/>
          <w:numId w:val="12"/>
        </w:numPr>
        <w:spacing w:after="0"/>
      </w:pPr>
      <w:r>
        <w:t xml:space="preserve">Invested in and acquired all of the private property within the Urban Renewal Plan </w:t>
      </w:r>
      <w:proofErr w:type="gramStart"/>
      <w:r>
        <w:t>boundaries;</w:t>
      </w:r>
      <w:proofErr w:type="gramEnd"/>
    </w:p>
    <w:p w14:paraId="5849AA71" w14:textId="77777777" w:rsidR="0086452B" w:rsidRDefault="0086452B" w:rsidP="0086452B">
      <w:pPr>
        <w:pStyle w:val="ListNumber"/>
        <w:numPr>
          <w:ilvl w:val="0"/>
          <w:numId w:val="12"/>
        </w:numPr>
        <w:spacing w:after="0"/>
      </w:pPr>
      <w:r>
        <w:t xml:space="preserve">Worked with the City and other government entities to identify sources and commitments for other funds to support infrastructure within the Urban Renewal Plan area, such as PPRTA, to provide an additional $28 million in </w:t>
      </w:r>
      <w:proofErr w:type="gramStart"/>
      <w:r>
        <w:t>funds;</w:t>
      </w:r>
      <w:proofErr w:type="gramEnd"/>
    </w:p>
    <w:p w14:paraId="1D1C990E" w14:textId="730207CF" w:rsidR="0086452B" w:rsidRDefault="0086452B" w:rsidP="0086452B">
      <w:pPr>
        <w:pStyle w:val="ListNumber"/>
        <w:numPr>
          <w:ilvl w:val="0"/>
          <w:numId w:val="12"/>
        </w:numPr>
        <w:spacing w:after="0"/>
      </w:pPr>
      <w:r>
        <w:t xml:space="preserve">Advancing developer funds for design of the </w:t>
      </w:r>
      <w:proofErr w:type="gramStart"/>
      <w:r>
        <w:t>Bridge;</w:t>
      </w:r>
      <w:proofErr w:type="gramEnd"/>
      <w:r w:rsidR="00A47479">
        <w:t xml:space="preserve"> </w:t>
      </w:r>
    </w:p>
    <w:p w14:paraId="38ECE78D" w14:textId="62444736" w:rsidR="00F40E4F" w:rsidRDefault="00F40E4F" w:rsidP="00F40E4F">
      <w:pPr>
        <w:pStyle w:val="ListNumber"/>
        <w:numPr>
          <w:ilvl w:val="0"/>
          <w:numId w:val="12"/>
        </w:numPr>
        <w:spacing w:after="0"/>
      </w:pPr>
      <w:r>
        <w:t>Petitioned for and supported the creation of the BID and two metropolitan districts pursuant to Title 32, Colorado Revised Statutes, in order to levy additional property taxes on property owned by the Developer to generate additional revenue to finance the infrastructure necessary to implement the Concept Plan; and</w:t>
      </w:r>
    </w:p>
    <w:p w14:paraId="6D28660E" w14:textId="737BE4B6" w:rsidR="0086452B" w:rsidRDefault="00F40E4F" w:rsidP="00F40E4F">
      <w:pPr>
        <w:pStyle w:val="ListNumber"/>
        <w:numPr>
          <w:ilvl w:val="0"/>
          <w:numId w:val="12"/>
        </w:numPr>
        <w:spacing w:after="0"/>
      </w:pPr>
      <w:r>
        <w:t>Has obtained permitting for and is advancing abatement and removal of existing structures on the property for construction of the Phase 1 private development completion of which is anticipated within 180 days.</w:t>
      </w:r>
    </w:p>
    <w:p w14:paraId="41E01B3A" w14:textId="77777777" w:rsidR="0086452B" w:rsidRDefault="0086452B" w:rsidP="0086452B">
      <w:pPr>
        <w:pStyle w:val="ListNumber"/>
        <w:spacing w:after="0"/>
        <w:ind w:left="1080"/>
      </w:pPr>
    </w:p>
    <w:p w14:paraId="4D814887" w14:textId="1C90A5EE" w:rsidR="0086452B" w:rsidRDefault="0086452B" w:rsidP="007C4489">
      <w:pPr>
        <w:pStyle w:val="ListNumber"/>
        <w:ind w:firstLine="720"/>
      </w:pPr>
      <w:r>
        <w:t>F</w:t>
      </w:r>
      <w:r w:rsidRPr="0034214E">
        <w:t>.</w:t>
      </w:r>
      <w:r w:rsidRPr="0034214E">
        <w:tab/>
        <w:t xml:space="preserve">The Public Improvements and Reimbursable Project Costs (as defined below) are </w:t>
      </w:r>
      <w:r>
        <w:t>described</w:t>
      </w:r>
      <w:r w:rsidRPr="0034214E">
        <w:t xml:space="preserve"> on </w:t>
      </w:r>
      <w:r w:rsidRPr="008158CB">
        <w:rPr>
          <w:u w:val="single"/>
        </w:rPr>
        <w:t>Exhibit B</w:t>
      </w:r>
      <w:r w:rsidRPr="0034214E">
        <w:t>, attached to and made a part hereof.  The Urban Renewal Plan allocates property tax increment revenue (“Property Tax TIF”)</w:t>
      </w:r>
      <w:r>
        <w:t xml:space="preserve">, </w:t>
      </w:r>
      <w:r w:rsidRPr="0034214E">
        <w:t>municipal sales tax increment revenue (“</w:t>
      </w:r>
      <w:r>
        <w:t xml:space="preserve">City </w:t>
      </w:r>
      <w:r w:rsidRPr="0034214E">
        <w:t>Sales Tax TIF”)</w:t>
      </w:r>
      <w:r>
        <w:t xml:space="preserve"> and municipal use tax increment revenue (“City Use Tax TIF”),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w:t>
      </w:r>
      <w:r>
        <w:t xml:space="preserve">the City Sales Tax TIF, City Use Tax TIF and </w:t>
      </w:r>
      <w:r w:rsidRPr="0034214E">
        <w:t xml:space="preserve">the Property Tax TIF produced from </w:t>
      </w:r>
      <w:r>
        <w:t xml:space="preserve">increases in municipal sales tax, certain municipal use tax and </w:t>
      </w:r>
      <w:r w:rsidRPr="0034214E">
        <w:t xml:space="preserve">ad valorem property taxes levied on real and personal property within </w:t>
      </w:r>
      <w:r>
        <w:t xml:space="preserve">the Area </w:t>
      </w:r>
      <w:r w:rsidRPr="0034214E">
        <w:t xml:space="preserve">to the Developer (and its Affiliates as defined herein) </w:t>
      </w:r>
      <w:r w:rsidR="009E4D88">
        <w:t xml:space="preserve">or the BID, as applicable, </w:t>
      </w:r>
      <w:r w:rsidRPr="0034214E">
        <w:t>and approved assigns in accordance with this Agreement.</w:t>
      </w:r>
    </w:p>
    <w:p w14:paraId="73C82F51" w14:textId="77777777" w:rsidR="0086452B" w:rsidRDefault="0086452B" w:rsidP="007C4489">
      <w:pPr>
        <w:pStyle w:val="ListNumber"/>
        <w:ind w:firstLine="720"/>
      </w:pPr>
      <w:r>
        <w:t>G.</w:t>
      </w:r>
      <w:r>
        <w:tab/>
      </w:r>
      <w:r w:rsidRPr="0034214E">
        <w:t xml:space="preserve">The Authority and the City </w:t>
      </w:r>
      <w:r>
        <w:t>have entered</w:t>
      </w:r>
      <w:r w:rsidRPr="0034214E">
        <w:t xml:space="preserve"> into </w:t>
      </w:r>
      <w:r>
        <w:t>that certain Cooperation Agreement dated as of December 11, 2018</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distribution </w:t>
      </w:r>
      <w:r>
        <w:t xml:space="preserve">and pledge </w:t>
      </w:r>
      <w:r w:rsidRPr="0034214E">
        <w:t xml:space="preserve">of </w:t>
      </w:r>
      <w:r>
        <w:t>(</w:t>
      </w:r>
      <w:proofErr w:type="spellStart"/>
      <w:r>
        <w:t>i</w:t>
      </w:r>
      <w:proofErr w:type="spellEnd"/>
      <w:r>
        <w:t xml:space="preserve">) </w:t>
      </w:r>
      <w:r w:rsidRPr="0034214E">
        <w:t xml:space="preserve">the </w:t>
      </w:r>
      <w:r>
        <w:t xml:space="preserve">City </w:t>
      </w:r>
      <w:r w:rsidRPr="0034214E">
        <w:t xml:space="preserve">Sales Tax TIF produced by taxable sales on and within the </w:t>
      </w:r>
      <w:r>
        <w:t xml:space="preserve">Area and (ii) the City Use Tax TIF paid solely on construction materials used within the Area </w:t>
      </w:r>
      <w:r w:rsidRPr="0034214E">
        <w:t>to the Developer (and its Affiliates and approved assigns) in accordance with this Agreement.</w:t>
      </w:r>
    </w:p>
    <w:p w14:paraId="61CC332E" w14:textId="77777777" w:rsidR="0086452B" w:rsidRDefault="0086452B" w:rsidP="0086452B">
      <w:r>
        <w:t>H</w:t>
      </w:r>
      <w:r w:rsidRPr="0034214E">
        <w:t>.</w:t>
      </w:r>
      <w:r w:rsidRPr="0034214E">
        <w:tab/>
        <w:t>The Parties to this Agreement intend to cooperate with each other in the development of the Property and pledge and payment of the Property Tax TIF</w:t>
      </w:r>
      <w:r>
        <w:t>,</w:t>
      </w:r>
      <w:r w:rsidRPr="0034214E">
        <w:t xml:space="preserve"> Sales Tax TIF </w:t>
      </w:r>
      <w:r>
        <w:t xml:space="preserve">and Use Tax TIF </w:t>
      </w:r>
      <w:r w:rsidRPr="0034214E">
        <w:t>to or on behalf of the Developer as provided herein.</w:t>
      </w:r>
    </w:p>
    <w:p w14:paraId="71D4562E" w14:textId="28AC4C02" w:rsidR="0086452B" w:rsidRDefault="0086452B" w:rsidP="0086452B">
      <w:pPr>
        <w:pStyle w:val="ListNumber"/>
        <w:ind w:firstLine="720"/>
      </w:pPr>
      <w:r>
        <w:t>I.</w:t>
      </w:r>
      <w:r>
        <w:tab/>
        <w:t xml:space="preserve">A City-initiated fiscal impact analysis of the </w:t>
      </w:r>
      <w:r w:rsidR="00A47479">
        <w:t>Concept Plan</w:t>
      </w:r>
      <w:r>
        <w:t xml:space="preserve"> concluded that the Project, if executed, would provide the following fiscal and economic benefits to the City:</w:t>
      </w:r>
    </w:p>
    <w:p w14:paraId="79FB272E" w14:textId="77777777" w:rsidR="0086452B" w:rsidRDefault="0086452B" w:rsidP="0086452B">
      <w:pPr>
        <w:pStyle w:val="ListNumber"/>
        <w:numPr>
          <w:ilvl w:val="0"/>
          <w:numId w:val="18"/>
        </w:numPr>
        <w:spacing w:after="0"/>
      </w:pPr>
      <w:r>
        <w:t xml:space="preserve">Economic Impacts:  </w:t>
      </w:r>
    </w:p>
    <w:p w14:paraId="331B154F" w14:textId="77777777" w:rsidR="0086452B" w:rsidRDefault="0086452B" w:rsidP="0086452B">
      <w:pPr>
        <w:pStyle w:val="ListNumber"/>
        <w:numPr>
          <w:ilvl w:val="1"/>
          <w:numId w:val="18"/>
        </w:numPr>
        <w:spacing w:after="0"/>
      </w:pPr>
      <w:r>
        <w:t>Permanent Jobs: 5,292</w:t>
      </w:r>
    </w:p>
    <w:p w14:paraId="310D4C72" w14:textId="77777777" w:rsidR="0086452B" w:rsidRDefault="0086452B" w:rsidP="0086452B">
      <w:pPr>
        <w:pStyle w:val="ListNumber"/>
        <w:numPr>
          <w:ilvl w:val="1"/>
          <w:numId w:val="18"/>
        </w:numPr>
        <w:spacing w:after="0"/>
      </w:pPr>
      <w:r>
        <w:t>Construction Jobs: 1,358</w:t>
      </w:r>
    </w:p>
    <w:p w14:paraId="663A7599" w14:textId="77777777" w:rsidR="0086452B" w:rsidRDefault="0086452B" w:rsidP="0086452B">
      <w:pPr>
        <w:pStyle w:val="ListNumber"/>
        <w:numPr>
          <w:ilvl w:val="1"/>
          <w:numId w:val="18"/>
        </w:numPr>
        <w:spacing w:after="0"/>
      </w:pPr>
      <w:r>
        <w:t>Total Jobs: 6,650</w:t>
      </w:r>
    </w:p>
    <w:p w14:paraId="6BBE53A8" w14:textId="77777777" w:rsidR="0086452B" w:rsidRDefault="0086452B" w:rsidP="0086452B">
      <w:pPr>
        <w:pStyle w:val="ListNumber"/>
        <w:numPr>
          <w:ilvl w:val="0"/>
          <w:numId w:val="18"/>
        </w:numPr>
        <w:spacing w:after="0"/>
      </w:pPr>
      <w:r>
        <w:t>Total Economic Impact: $10 Billion</w:t>
      </w:r>
    </w:p>
    <w:p w14:paraId="7F9C5581" w14:textId="77777777" w:rsidR="0086452B" w:rsidRDefault="0086452B" w:rsidP="0086452B">
      <w:pPr>
        <w:pStyle w:val="ListNumber"/>
        <w:numPr>
          <w:ilvl w:val="0"/>
          <w:numId w:val="18"/>
        </w:numPr>
        <w:spacing w:after="0"/>
      </w:pPr>
      <w:r>
        <w:lastRenderedPageBreak/>
        <w:t>Fiscal Impacts:</w:t>
      </w:r>
    </w:p>
    <w:p w14:paraId="2B893146" w14:textId="77777777" w:rsidR="0086452B" w:rsidRDefault="0086452B" w:rsidP="0086452B">
      <w:pPr>
        <w:pStyle w:val="ListNumber"/>
        <w:numPr>
          <w:ilvl w:val="0"/>
          <w:numId w:val="19"/>
        </w:numPr>
        <w:spacing w:after="0"/>
      </w:pPr>
      <w:r>
        <w:t>Net New City Tax Revenue: $108.2 Million</w:t>
      </w:r>
    </w:p>
    <w:p w14:paraId="49340433" w14:textId="77777777" w:rsidR="0086452B" w:rsidRDefault="0086452B" w:rsidP="0086452B">
      <w:pPr>
        <w:pStyle w:val="ListNumber"/>
        <w:numPr>
          <w:ilvl w:val="0"/>
          <w:numId w:val="19"/>
        </w:numPr>
        <w:spacing w:after="0"/>
      </w:pPr>
      <w:r>
        <w:t>Net New City PPRTA Revenue: $28 Million</w:t>
      </w:r>
    </w:p>
    <w:p w14:paraId="6B91F416" w14:textId="77777777" w:rsidR="0086452B" w:rsidRDefault="0086452B" w:rsidP="0086452B">
      <w:pPr>
        <w:pStyle w:val="ListNumber"/>
        <w:numPr>
          <w:ilvl w:val="0"/>
          <w:numId w:val="19"/>
        </w:numPr>
        <w:spacing w:after="0"/>
      </w:pPr>
      <w:r>
        <w:t>Total Net New City Revenue: $136.2 Million</w:t>
      </w:r>
    </w:p>
    <w:p w14:paraId="594DEED8" w14:textId="77777777" w:rsidR="007C4489" w:rsidRDefault="007C4489" w:rsidP="007C4489">
      <w:pPr>
        <w:pStyle w:val="ListNumber"/>
        <w:spacing w:after="0"/>
        <w:ind w:left="1440"/>
      </w:pPr>
    </w:p>
    <w:p w14:paraId="1DD0C23E" w14:textId="77777777" w:rsidR="0086452B" w:rsidRPr="0034214E" w:rsidRDefault="0086452B" w:rsidP="0086452B">
      <w:r w:rsidRPr="0034214E">
        <w:t xml:space="preserve">NOW THEREFORE, </w:t>
      </w:r>
      <w:r w:rsidRPr="0034214E">
        <w:tab/>
        <w:t>based upon the mutual covenants and considerations contained herein, the Parties agree as follows:</w:t>
      </w:r>
    </w:p>
    <w:p w14:paraId="6CB87BF8" w14:textId="77777777" w:rsidR="0086452B" w:rsidRPr="0034214E" w:rsidRDefault="0086452B" w:rsidP="0086452B">
      <w:pPr>
        <w:pStyle w:val="Heading1"/>
      </w:pPr>
      <w:r w:rsidRPr="0034214E">
        <w:t xml:space="preserve">PURPOSE </w:t>
      </w:r>
    </w:p>
    <w:p w14:paraId="7C78C2D0" w14:textId="77777777" w:rsidR="0086452B" w:rsidRPr="0034214E" w:rsidRDefault="0086452B">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The purpose of this Agreement is to further the goals and objectives of the Colorado Urban Renewal Law, Colorado Revised Statutes</w:t>
      </w:r>
      <w:r>
        <w:t xml:space="preserve"> §§</w:t>
      </w:r>
      <w:r w:rsidRPr="0034214E">
        <w:t xml:space="preserve"> 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3FD6B127" w14:textId="77777777" w:rsidR="0086452B" w:rsidRPr="0034214E" w:rsidRDefault="0086452B" w:rsidP="0086452B">
      <w:pPr>
        <w:pStyle w:val="Heading3"/>
      </w:pPr>
      <w:r w:rsidRPr="0034214E">
        <w:t xml:space="preserve">Encourage and protect existing development on the </w:t>
      </w:r>
      <w:proofErr w:type="gramStart"/>
      <w:r w:rsidRPr="0034214E">
        <w:t>Property;</w:t>
      </w:r>
      <w:proofErr w:type="gramEnd"/>
    </w:p>
    <w:p w14:paraId="2A570E4B" w14:textId="77777777" w:rsidR="0086452B" w:rsidRPr="0034214E" w:rsidRDefault="0086452B" w:rsidP="0086452B">
      <w:pPr>
        <w:pStyle w:val="Heading3"/>
      </w:pPr>
      <w:r w:rsidRPr="0034214E">
        <w:t xml:space="preserve">Renew and improve the character and environment of the </w:t>
      </w:r>
      <w:proofErr w:type="gramStart"/>
      <w:r w:rsidRPr="0034214E">
        <w:t>Area;</w:t>
      </w:r>
      <w:proofErr w:type="gramEnd"/>
    </w:p>
    <w:p w14:paraId="68CC2704" w14:textId="77777777" w:rsidR="0086452B" w:rsidRPr="0034214E" w:rsidRDefault="0086452B" w:rsidP="0086452B">
      <w:pPr>
        <w:pStyle w:val="Heading3"/>
      </w:pPr>
      <w:r w:rsidRPr="0034214E">
        <w:t xml:space="preserve">Enhance the current sales tax base and property tax base of the </w:t>
      </w:r>
      <w:proofErr w:type="gramStart"/>
      <w:r w:rsidRPr="0034214E">
        <w:t>Area;</w:t>
      </w:r>
      <w:proofErr w:type="gramEnd"/>
    </w:p>
    <w:p w14:paraId="7B01A123" w14:textId="77777777" w:rsidR="0086452B" w:rsidRDefault="0086452B" w:rsidP="0086452B">
      <w:pPr>
        <w:pStyle w:val="Heading3"/>
      </w:pPr>
      <w:r w:rsidRPr="0034214E">
        <w:t xml:space="preserve">Provide the incentives necessary to induce private development and redevelopment of the </w:t>
      </w:r>
      <w:proofErr w:type="gramStart"/>
      <w:r w:rsidRPr="0034214E">
        <w:t>Area;</w:t>
      </w:r>
      <w:proofErr w:type="gramEnd"/>
    </w:p>
    <w:p w14:paraId="088FB002" w14:textId="77777777" w:rsidR="0086452B" w:rsidRPr="00045112" w:rsidRDefault="0086452B" w:rsidP="0086452B">
      <w:pPr>
        <w:pStyle w:val="Heading3"/>
      </w:pPr>
      <w:r>
        <w:t xml:space="preserve">Demolish and remove blighted structures from the </w:t>
      </w:r>
      <w:proofErr w:type="gramStart"/>
      <w:r>
        <w:t>Area;</w:t>
      </w:r>
      <w:proofErr w:type="gramEnd"/>
    </w:p>
    <w:p w14:paraId="0B5FEC9C" w14:textId="77777777" w:rsidR="0086452B" w:rsidRPr="0034214E" w:rsidRDefault="0086452B" w:rsidP="0086452B">
      <w:pPr>
        <w:pStyle w:val="Heading3"/>
      </w:pPr>
      <w:r w:rsidRPr="0034214E">
        <w:t xml:space="preserve">Effectively use undeveloped land within the </w:t>
      </w:r>
      <w:proofErr w:type="gramStart"/>
      <w:r w:rsidRPr="0034214E">
        <w:t>Area;</w:t>
      </w:r>
      <w:proofErr w:type="gramEnd"/>
    </w:p>
    <w:p w14:paraId="7A04D2C4" w14:textId="77777777" w:rsidR="0086452B" w:rsidRPr="0034214E" w:rsidRDefault="0086452B" w:rsidP="0086452B">
      <w:pPr>
        <w:pStyle w:val="Heading3"/>
      </w:pPr>
      <w:r w:rsidRPr="0034214E">
        <w:t xml:space="preserve">Encourage financially successful projects within the </w:t>
      </w:r>
      <w:proofErr w:type="gramStart"/>
      <w:r w:rsidRPr="0034214E">
        <w:t>Property;</w:t>
      </w:r>
      <w:proofErr w:type="gramEnd"/>
    </w:p>
    <w:p w14:paraId="2616AEF4" w14:textId="77777777" w:rsidR="0086452B" w:rsidRPr="0034214E" w:rsidRDefault="0086452B" w:rsidP="0086452B">
      <w:pPr>
        <w:pStyle w:val="Heading3"/>
      </w:pPr>
      <w:r w:rsidRPr="0034214E">
        <w:t xml:space="preserve">Stabilize and upgrade property values within the </w:t>
      </w:r>
      <w:proofErr w:type="gramStart"/>
      <w:r w:rsidRPr="0034214E">
        <w:t>Area;</w:t>
      </w:r>
      <w:proofErr w:type="gramEnd"/>
    </w:p>
    <w:p w14:paraId="4F4282F5" w14:textId="77777777" w:rsidR="0086452B" w:rsidRPr="0034214E" w:rsidRDefault="0086452B" w:rsidP="0086452B">
      <w:pPr>
        <w:pStyle w:val="Heading3"/>
      </w:pPr>
      <w:r w:rsidRPr="0034214E">
        <w:t xml:space="preserve">Accommodate and provide for the voluntary environmental cleanup of the </w:t>
      </w:r>
      <w:proofErr w:type="gramStart"/>
      <w:r w:rsidRPr="0034214E">
        <w:t>Area;</w:t>
      </w:r>
      <w:proofErr w:type="gramEnd"/>
    </w:p>
    <w:p w14:paraId="45A6D34F" w14:textId="77777777" w:rsidR="0086452B" w:rsidRPr="0034214E" w:rsidRDefault="0086452B" w:rsidP="0086452B">
      <w:pPr>
        <w:pStyle w:val="Heading3"/>
      </w:pPr>
      <w:r w:rsidRPr="0034214E">
        <w:t>Promote improved traffic, public transportation, public utilities, recreational and community facilities within the Area; and</w:t>
      </w:r>
    </w:p>
    <w:p w14:paraId="2C056387" w14:textId="77777777" w:rsidR="0086452B" w:rsidRPr="0034214E" w:rsidRDefault="0086452B" w:rsidP="0086452B">
      <w:pPr>
        <w:pStyle w:val="Heading3"/>
      </w:pPr>
      <w:r w:rsidRPr="0034214E">
        <w:t>Promote the participation of existing owners in the revitalization and development of the Property.</w:t>
      </w:r>
    </w:p>
    <w:p w14:paraId="65C8061C" w14:textId="77777777" w:rsidR="0086452B" w:rsidRPr="0034214E" w:rsidRDefault="0086452B" w:rsidP="0086452B">
      <w:pPr>
        <w:pStyle w:val="Heading1"/>
        <w:rPr>
          <w:b w:val="0"/>
        </w:rPr>
      </w:pPr>
      <w:r w:rsidRPr="0034214E">
        <w:rPr>
          <w:b w:val="0"/>
        </w:rPr>
        <w:t>CERTAIN DEFINITIONS</w:t>
      </w:r>
    </w:p>
    <w:p w14:paraId="459F58BB" w14:textId="77777777" w:rsidR="0086452B" w:rsidRPr="0034214E" w:rsidRDefault="0086452B" w:rsidP="0086452B">
      <w:pPr>
        <w:pStyle w:val="Heading2"/>
      </w:pPr>
      <w:r w:rsidRPr="0034214E">
        <w:t>“Act” shall have the meaning set forth in Section 1.</w:t>
      </w:r>
    </w:p>
    <w:p w14:paraId="0D1BE1BE" w14:textId="77777777" w:rsidR="0086452B" w:rsidRPr="0034214E" w:rsidRDefault="0086452B" w:rsidP="0086452B">
      <w:pPr>
        <w:pStyle w:val="Heading2"/>
      </w:pPr>
      <w:r w:rsidRPr="0034214E">
        <w:lastRenderedPageBreak/>
        <w:t xml:space="preserve">“Affiliate” shall mean any entity in which the Developer or </w:t>
      </w:r>
      <w:r w:rsidR="007C4489">
        <w:t>Christopher S. Jenkins</w:t>
      </w:r>
      <w:r w:rsidRPr="0034214E">
        <w:t xml:space="preserve"> serves as manager or general partner or otherwise is in control, directly or indirectly, of such entity. </w:t>
      </w:r>
    </w:p>
    <w:p w14:paraId="01AFE768" w14:textId="77777777" w:rsidR="0086452B" w:rsidRPr="0034214E" w:rsidRDefault="0086452B" w:rsidP="0086452B">
      <w:pPr>
        <w:pStyle w:val="Heading2"/>
      </w:pPr>
      <w:r w:rsidRPr="0034214E">
        <w:t>“Agreement” shall have the meaning set forth in the Preamble.</w:t>
      </w:r>
    </w:p>
    <w:p w14:paraId="544D28CB" w14:textId="77777777" w:rsidR="0086452B" w:rsidRPr="0034214E" w:rsidRDefault="0086452B" w:rsidP="0086452B">
      <w:pPr>
        <w:pStyle w:val="Heading2"/>
      </w:pPr>
      <w:r w:rsidRPr="0034214E">
        <w:t>“Area” shall have the meaning set forth in the Urban Renewal Plan.</w:t>
      </w:r>
    </w:p>
    <w:p w14:paraId="2F22CD70" w14:textId="77777777" w:rsidR="0086452B" w:rsidRPr="0034214E" w:rsidRDefault="0086452B" w:rsidP="0086452B">
      <w:pPr>
        <w:pStyle w:val="Heading2"/>
      </w:pPr>
      <w:r w:rsidRPr="0034214E">
        <w:t>“Authority” shall have the meaning set forth in the Preamble.</w:t>
      </w:r>
    </w:p>
    <w:p w14:paraId="65301C6C" w14:textId="6BEB7395" w:rsidR="0086452B" w:rsidRPr="0034214E" w:rsidRDefault="0086452B" w:rsidP="0086452B">
      <w:pPr>
        <w:pStyle w:val="Heading2"/>
      </w:pPr>
      <w:r w:rsidRPr="0034214E">
        <w:t>“Authority Administrative Fee” shall have the meaning set forth in Section 7.1</w:t>
      </w:r>
      <w:r w:rsidR="000110FC">
        <w:t>3</w:t>
      </w:r>
      <w:r w:rsidRPr="0034214E">
        <w:t>.</w:t>
      </w:r>
    </w:p>
    <w:p w14:paraId="01BF5A2B" w14:textId="102BB4A6" w:rsidR="0086452B" w:rsidRDefault="0086452B" w:rsidP="0086452B">
      <w:pPr>
        <w:pStyle w:val="Heading2"/>
      </w:pPr>
      <w:r w:rsidRPr="0034214E">
        <w:t>“Authority’s Reimbursement Obligation” shall have the meaning set forth in Section 7.</w:t>
      </w:r>
      <w:r w:rsidR="000110FC">
        <w:t>5</w:t>
      </w:r>
      <w:r>
        <w:t>.</w:t>
      </w:r>
    </w:p>
    <w:p w14:paraId="24F2CB8F" w14:textId="48940451" w:rsidR="0086452B" w:rsidRDefault="0086452B" w:rsidP="0086452B">
      <w:pPr>
        <w:pStyle w:val="Heading2"/>
      </w:pPr>
      <w:r w:rsidRPr="0034214E">
        <w:t>“</w:t>
      </w:r>
      <w:r>
        <w:t>BID</w:t>
      </w:r>
      <w:r w:rsidRPr="0034214E">
        <w:t xml:space="preserve">” shall have the meaning set forth in </w:t>
      </w:r>
      <w:r w:rsidR="009E4D88">
        <w:t>the Preamble</w:t>
      </w:r>
      <w:r w:rsidRPr="0034214E">
        <w:t>.</w:t>
      </w:r>
    </w:p>
    <w:p w14:paraId="60DE0B05" w14:textId="7A7AA9CF" w:rsidR="00A47479" w:rsidRPr="00A47479" w:rsidRDefault="00A47479" w:rsidP="00A47479">
      <w:pPr>
        <w:pStyle w:val="Heading2"/>
      </w:pPr>
      <w:r>
        <w:t>“BID Act” shall have the meaning set forth in Recital C.</w:t>
      </w:r>
    </w:p>
    <w:p w14:paraId="1177FFAD" w14:textId="4F83D20F" w:rsidR="0086452B" w:rsidRDefault="0086452B" w:rsidP="0086452B">
      <w:pPr>
        <w:pStyle w:val="Heading2"/>
      </w:pPr>
      <w:r w:rsidRPr="0034214E">
        <w:t>“</w:t>
      </w:r>
      <w:r>
        <w:t>BID</w:t>
      </w:r>
      <w:r w:rsidRPr="0034214E">
        <w:t xml:space="preserve"> Bonds” shall have the meaning set forth in Section 7.</w:t>
      </w:r>
      <w:r w:rsidR="000110FC">
        <w:t>2</w:t>
      </w:r>
      <w:r w:rsidRPr="0034214E">
        <w:t>.</w:t>
      </w:r>
    </w:p>
    <w:p w14:paraId="3DAC5A84" w14:textId="76A44D1B" w:rsidR="000110FC" w:rsidRPr="000110FC" w:rsidRDefault="000110FC" w:rsidP="000110FC">
      <w:pPr>
        <w:pStyle w:val="Heading2"/>
      </w:pPr>
      <w:r w:rsidRPr="000110FC">
        <w:t xml:space="preserve">“Bond Documents” means the Indentures and the documents incidental thereto.  </w:t>
      </w:r>
    </w:p>
    <w:p w14:paraId="43984858" w14:textId="6732EF89" w:rsidR="0086452B" w:rsidRPr="0034214E" w:rsidRDefault="0086452B" w:rsidP="0086452B">
      <w:pPr>
        <w:pStyle w:val="Heading2"/>
      </w:pPr>
      <w:r w:rsidRPr="0034214E">
        <w:t xml:space="preserve">“City” shall have the meaning set forth in Recital B. </w:t>
      </w:r>
    </w:p>
    <w:p w14:paraId="441C3029" w14:textId="30469300" w:rsidR="0086452B" w:rsidRPr="00344DE9" w:rsidRDefault="0086452B" w:rsidP="0086452B">
      <w:pPr>
        <w:pStyle w:val="Heading2"/>
      </w:pPr>
      <w:r w:rsidRPr="00344DE9">
        <w:t>“</w:t>
      </w:r>
      <w:r>
        <w:t xml:space="preserve">City </w:t>
      </w:r>
      <w:r w:rsidRPr="00344DE9">
        <w:t xml:space="preserve">Sales Tax TIF” shall have the meaning set forth in Recital </w:t>
      </w:r>
      <w:r w:rsidR="009E4D88">
        <w:t>F</w:t>
      </w:r>
      <w:r>
        <w:t>, as further described in Section 6.1</w:t>
      </w:r>
      <w:r w:rsidRPr="00344DE9">
        <w:t>.</w:t>
      </w:r>
    </w:p>
    <w:p w14:paraId="087066B8" w14:textId="018BFCFF" w:rsidR="0086452B" w:rsidRDefault="0086452B" w:rsidP="0086452B">
      <w:pPr>
        <w:pStyle w:val="Heading2"/>
      </w:pPr>
      <w:r w:rsidRPr="0054580E">
        <w:t xml:space="preserve">“City </w:t>
      </w:r>
      <w:r>
        <w:t>Use</w:t>
      </w:r>
      <w:r w:rsidRPr="0054580E">
        <w:t xml:space="preserve"> Tax TIF” shall have the meaning set forth in Recital </w:t>
      </w:r>
      <w:r w:rsidR="009E4D88">
        <w:t>F</w:t>
      </w:r>
      <w:r w:rsidRPr="0054580E">
        <w:t>, as further described in Section 6.1.</w:t>
      </w:r>
    </w:p>
    <w:p w14:paraId="5B2161CE" w14:textId="77777777" w:rsidR="0086452B" w:rsidRPr="0034214E" w:rsidRDefault="0086452B" w:rsidP="0086452B">
      <w:pPr>
        <w:pStyle w:val="Heading2"/>
      </w:pPr>
      <w:r w:rsidRPr="0034214E">
        <w:t>“Concept Plan” shall have th</w:t>
      </w:r>
      <w:r>
        <w:t>e meaning set forth in Recital D</w:t>
      </w:r>
      <w:r w:rsidRPr="0034214E">
        <w:t>.</w:t>
      </w:r>
    </w:p>
    <w:p w14:paraId="2AB2082F" w14:textId="1C896782" w:rsidR="0086452B" w:rsidRDefault="0086452B" w:rsidP="0086452B">
      <w:pPr>
        <w:pStyle w:val="Heading2"/>
      </w:pPr>
      <w:r w:rsidRPr="0034214E">
        <w:t xml:space="preserve">“Cooperation Agreement” shall have the meaning set forth in Recital </w:t>
      </w:r>
      <w:r w:rsidR="009E4D88">
        <w:t>G</w:t>
      </w:r>
      <w:r w:rsidRPr="0034214E">
        <w:t>.</w:t>
      </w:r>
    </w:p>
    <w:p w14:paraId="0AF0BF94" w14:textId="77777777" w:rsidR="0086452B" w:rsidRDefault="0086452B" w:rsidP="0086452B">
      <w:pPr>
        <w:pStyle w:val="Heading2"/>
      </w:pPr>
      <w:r>
        <w:t>“County” means El Paso County, Colorado, a political subdivision of the State of Colorado.</w:t>
      </w:r>
    </w:p>
    <w:p w14:paraId="50F255B3" w14:textId="77777777" w:rsidR="0086452B" w:rsidRDefault="0086452B" w:rsidP="0086452B">
      <w:pPr>
        <w:pStyle w:val="Heading2"/>
      </w:pPr>
      <w:r>
        <w:t>“County Agreement” means that certain Tax Increment Revenue Agreement by and between the County and the Authority dated as of November 15, 2018, as the same may be amended from time to time.</w:t>
      </w:r>
    </w:p>
    <w:p w14:paraId="7BCE920F" w14:textId="77777777" w:rsidR="0086452B" w:rsidRPr="00B41ADE" w:rsidRDefault="0086452B" w:rsidP="0086452B">
      <w:pPr>
        <w:pStyle w:val="Heading2"/>
      </w:pPr>
      <w:r>
        <w:t xml:space="preserve">“County Sales Tax TIF” shall mean, </w:t>
      </w:r>
      <w:r w:rsidRPr="00DF4A8E">
        <w:t>for each Plan Year</w:t>
      </w:r>
      <w:r>
        <w:t xml:space="preserve"> (as defined in the County Agreement)</w:t>
      </w:r>
      <w:r w:rsidRPr="00DF4A8E">
        <w:t xml:space="preserve">, the revenues received from the County </w:t>
      </w:r>
      <w:r>
        <w:t>Sales Tax</w:t>
      </w:r>
      <w:r w:rsidRPr="00DF4A8E">
        <w:t xml:space="preserve"> </w:t>
      </w:r>
      <w:r>
        <w:t xml:space="preserve">(as defined in the County Agreement) </w:t>
      </w:r>
      <w:r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t xml:space="preserve">Urban Renewal </w:t>
      </w:r>
      <w:r w:rsidRPr="00DF4A8E">
        <w:t>Plan</w:t>
      </w:r>
      <w:r>
        <w:t>.</w:t>
      </w:r>
    </w:p>
    <w:p w14:paraId="3EC64814" w14:textId="77777777" w:rsidR="0086452B" w:rsidRDefault="0086452B" w:rsidP="0086452B">
      <w:pPr>
        <w:pStyle w:val="Heading2"/>
      </w:pPr>
      <w:r>
        <w:t>“CSDDA” means the Colorado Springs Downtown Development Authority, a body corporate of the State of Colorado.</w:t>
      </w:r>
    </w:p>
    <w:p w14:paraId="57C80034" w14:textId="46CA99CB" w:rsidR="0086452B" w:rsidRDefault="0086452B" w:rsidP="0086452B">
      <w:pPr>
        <w:pStyle w:val="Heading2"/>
      </w:pPr>
      <w:r>
        <w:lastRenderedPageBreak/>
        <w:t xml:space="preserve">“D11” means Colorado Springs School </w:t>
      </w:r>
      <w:r w:rsidR="004544BC">
        <w:t>District</w:t>
      </w:r>
      <w:r>
        <w:t xml:space="preserve"> </w:t>
      </w:r>
      <w:r w:rsidR="009E4D88">
        <w:t xml:space="preserve">No. </w:t>
      </w:r>
      <w:r>
        <w:t>11, a political subdivision of the State of Colorado.</w:t>
      </w:r>
    </w:p>
    <w:p w14:paraId="2EBCBC09" w14:textId="066C2B01" w:rsidR="0086452B" w:rsidRPr="0034214E" w:rsidRDefault="0086452B" w:rsidP="0086452B">
      <w:pPr>
        <w:pStyle w:val="Heading2"/>
      </w:pPr>
      <w:r w:rsidRPr="0034214E">
        <w:t xml:space="preserve">“Default” shall have the meaning set forth in </w:t>
      </w:r>
      <w:r w:rsidR="009E4D88" w:rsidRPr="009E4D88">
        <w:t>Sections 12.1, 12.2 and 12.3</w:t>
      </w:r>
      <w:r w:rsidRPr="0034214E">
        <w:t>.</w:t>
      </w:r>
    </w:p>
    <w:p w14:paraId="19866363" w14:textId="77777777" w:rsidR="0086452B" w:rsidRPr="0034214E" w:rsidRDefault="0086452B" w:rsidP="0086452B">
      <w:pPr>
        <w:pStyle w:val="Heading2"/>
      </w:pPr>
      <w:r w:rsidRPr="0034214E">
        <w:t>“Developer” shall have the meaning set forth in the Preamble.</w:t>
      </w:r>
    </w:p>
    <w:p w14:paraId="539F96B2" w14:textId="1BBCE098" w:rsidR="0086452B" w:rsidRPr="0034214E" w:rsidRDefault="0086452B" w:rsidP="0086452B">
      <w:pPr>
        <w:pStyle w:val="Heading2"/>
      </w:pPr>
      <w:r w:rsidRPr="0034214E">
        <w:t>“Developer’s Account” shall have the meaning set forth in Section 7.</w:t>
      </w:r>
      <w:r w:rsidR="000110FC">
        <w:t>8</w:t>
      </w:r>
      <w:r w:rsidRPr="0034214E">
        <w:t>.</w:t>
      </w:r>
    </w:p>
    <w:p w14:paraId="2C64FA50" w14:textId="69A38468" w:rsidR="0086452B" w:rsidRDefault="0086452B" w:rsidP="0086452B">
      <w:pPr>
        <w:pStyle w:val="Heading2"/>
      </w:pPr>
      <w:r>
        <w:t>“</w:t>
      </w:r>
      <w:r w:rsidRPr="001B1D1D">
        <w:t xml:space="preserve">Development Plan” shall have the meaning set forth in Section </w:t>
      </w:r>
      <w:r>
        <w:t>4</w:t>
      </w:r>
      <w:r w:rsidR="009E4D88">
        <w:t>.1</w:t>
      </w:r>
      <w:r>
        <w:t>.</w:t>
      </w:r>
    </w:p>
    <w:p w14:paraId="72D5D716" w14:textId="462E28AD" w:rsidR="00A81F43" w:rsidRPr="00A81F43" w:rsidRDefault="00A81F43" w:rsidP="00A81F43">
      <w:pPr>
        <w:pStyle w:val="Heading2"/>
      </w:pPr>
      <w:r w:rsidRPr="00A81F43">
        <w:t xml:space="preserve">“District Debt Service Mill Levy” shall have the meaning set forth in the </w:t>
      </w:r>
      <w:r>
        <w:t xml:space="preserve">Master </w:t>
      </w:r>
      <w:r w:rsidRPr="00A81F43">
        <w:t>Indenture.</w:t>
      </w:r>
    </w:p>
    <w:p w14:paraId="38E3AC20" w14:textId="2786883B" w:rsidR="0086452B" w:rsidRPr="00142E42" w:rsidRDefault="0086452B" w:rsidP="0086452B">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114F1208" w14:textId="6BE9454A" w:rsidR="0086452B" w:rsidRPr="0034214E" w:rsidRDefault="0086452B" w:rsidP="0086452B">
      <w:pPr>
        <w:pStyle w:val="Heading2"/>
      </w:pPr>
      <w:r w:rsidRPr="0034214E">
        <w:t>“Event of Default” shall have the meaning set forth in Section</w:t>
      </w:r>
      <w:r w:rsidR="00C457C5">
        <w:t>s</w:t>
      </w:r>
      <w:r w:rsidRPr="0034214E">
        <w:t xml:space="preserve"> 1</w:t>
      </w:r>
      <w:r w:rsidR="00C457C5">
        <w:t>2</w:t>
      </w:r>
      <w:r w:rsidRPr="0034214E">
        <w:t>.1</w:t>
      </w:r>
      <w:r w:rsidR="00C457C5">
        <w:t xml:space="preserve">, </w:t>
      </w:r>
      <w:r w:rsidRPr="0034214E">
        <w:t>1</w:t>
      </w:r>
      <w:r w:rsidR="00C457C5">
        <w:t>2</w:t>
      </w:r>
      <w:r w:rsidRPr="0034214E">
        <w:t>.2</w:t>
      </w:r>
      <w:r w:rsidR="00C457C5">
        <w:t xml:space="preserve"> and 12.3</w:t>
      </w:r>
      <w:r w:rsidRPr="0034214E">
        <w:t>.</w:t>
      </w:r>
    </w:p>
    <w:p w14:paraId="21737E8C" w14:textId="5461CA12" w:rsidR="0086452B" w:rsidRPr="0034214E" w:rsidRDefault="0086452B" w:rsidP="0086452B">
      <w:pPr>
        <w:pStyle w:val="Heading2"/>
      </w:pPr>
      <w:r w:rsidRPr="0034214E">
        <w:t>“Improvements” shall have the meaning set forth in Section 4</w:t>
      </w:r>
      <w:r w:rsidR="009E4D88">
        <w:t>.1</w:t>
      </w:r>
      <w:r w:rsidRPr="0034214E">
        <w:t>.</w:t>
      </w:r>
    </w:p>
    <w:p w14:paraId="66CA78D4" w14:textId="2FB8BD45" w:rsidR="0086452B" w:rsidRDefault="0086452B" w:rsidP="0086452B">
      <w:pPr>
        <w:pStyle w:val="Heading2"/>
      </w:pPr>
      <w:r w:rsidRPr="0034214E">
        <w:t>“Indemnified Parties” and “Indemnified Party” shall have the meaning set forth in Section 1</w:t>
      </w:r>
      <w:r w:rsidR="00A75E1B">
        <w:t>3</w:t>
      </w:r>
      <w:r w:rsidRPr="0034214E">
        <w:t>.1.</w:t>
      </w:r>
    </w:p>
    <w:p w14:paraId="5A064F80" w14:textId="3CEEF6C1" w:rsidR="005D2ECA" w:rsidRDefault="005D2ECA" w:rsidP="005D2ECA">
      <w:pPr>
        <w:pStyle w:val="Heading2"/>
      </w:pPr>
      <w:r w:rsidRPr="005D2ECA">
        <w:t xml:space="preserve">“Indentures” shall have the meaning set forth in Section </w:t>
      </w:r>
      <w:r w:rsidR="000110FC">
        <w:t>7.2</w:t>
      </w:r>
      <w:r w:rsidRPr="005D2ECA">
        <w:t>.</w:t>
      </w:r>
    </w:p>
    <w:p w14:paraId="367D2FDE" w14:textId="230CCFDE" w:rsidR="00FE74AD" w:rsidRPr="00FE74AD" w:rsidRDefault="00FE74AD" w:rsidP="00FE74AD">
      <w:pPr>
        <w:pStyle w:val="Heading2"/>
      </w:pPr>
      <w:r>
        <w:t>“Master Indenture” shall have the meaning set forth in Section 7.2.</w:t>
      </w:r>
    </w:p>
    <w:p w14:paraId="7B47BB1E" w14:textId="332FA192" w:rsidR="00FD6707" w:rsidRDefault="00FD6707" w:rsidP="009E4D88">
      <w:pPr>
        <w:pStyle w:val="Heading2"/>
      </w:pPr>
      <w:r>
        <w:t>“Metro Districts” means</w:t>
      </w:r>
      <w:r w:rsidR="00B80988">
        <w:t>, collectively,</w:t>
      </w:r>
      <w:r>
        <w:t xml:space="preserve"> SW Downtown Metropo</w:t>
      </w:r>
      <w:r w:rsidR="00B80988">
        <w:t xml:space="preserve">litan District No. 1 and SW Downtown Metropolitan District No. 2, each a quasi-municipal corporation and political subdivision of the State of Colorado.  </w:t>
      </w:r>
    </w:p>
    <w:p w14:paraId="45561E67" w14:textId="79DACBD3" w:rsidR="00D8639B" w:rsidRPr="00D8639B" w:rsidRDefault="00D8639B" w:rsidP="005D2ECA">
      <w:pPr>
        <w:pStyle w:val="Heading2"/>
      </w:pPr>
      <w:r>
        <w:t xml:space="preserve">“Metro District Pledge Agreement” means that certain </w:t>
      </w:r>
      <w:r w:rsidR="005D2ECA">
        <w:t>Capital Pledge Agreement by and among the [Metro Districts] and the Trustee.</w:t>
      </w:r>
    </w:p>
    <w:p w14:paraId="29D4B1A2" w14:textId="6F250BEF" w:rsidR="009E4D88" w:rsidRPr="009E4D88" w:rsidRDefault="009E4D88" w:rsidP="009E4D88">
      <w:pPr>
        <w:pStyle w:val="Heading2"/>
      </w:pPr>
      <w:r w:rsidRPr="009E4D88">
        <w:t xml:space="preserve">“Operating Plan” means, collectively, each Operating Plan and Budget filed annually by the </w:t>
      </w:r>
      <w:r w:rsidR="00776431">
        <w:t>BID</w:t>
      </w:r>
      <w:r w:rsidRPr="009E4D88">
        <w:t xml:space="preserve"> with the City Clerk of the City pursuant to the </w:t>
      </w:r>
      <w:r w:rsidR="00776431">
        <w:t>BID Act</w:t>
      </w:r>
      <w:r w:rsidRPr="009E4D88">
        <w:t xml:space="preserve">.  As of the date of this Agreement, the 2020 Operating Plan and Budget is the most recent Operating Plan which has been so filed by the </w:t>
      </w:r>
      <w:r w:rsidR="00776431">
        <w:t>BID</w:t>
      </w:r>
      <w:r w:rsidRPr="009E4D88">
        <w:t xml:space="preserve">. </w:t>
      </w:r>
    </w:p>
    <w:p w14:paraId="008A5129" w14:textId="77777777" w:rsidR="0086452B" w:rsidRPr="0034214E" w:rsidRDefault="0086452B" w:rsidP="0086452B">
      <w:pPr>
        <w:pStyle w:val="Heading2"/>
      </w:pPr>
      <w:r w:rsidRPr="0034214E">
        <w:t xml:space="preserve">“Parties” and “Party” shall have the meanings set forth in the Preamble. </w:t>
      </w:r>
    </w:p>
    <w:p w14:paraId="555833D6" w14:textId="73D5B523" w:rsidR="0086452B" w:rsidRPr="0034214E" w:rsidRDefault="0086452B" w:rsidP="0086452B">
      <w:pPr>
        <w:pStyle w:val="Heading2"/>
      </w:pPr>
      <w:r w:rsidRPr="0034214E">
        <w:t>“Phase” shall have the meaning set forth in Section 4</w:t>
      </w:r>
      <w:r w:rsidR="00222720">
        <w:t>.1</w:t>
      </w:r>
      <w:r w:rsidRPr="0034214E">
        <w:t>.</w:t>
      </w:r>
    </w:p>
    <w:p w14:paraId="33C97D73" w14:textId="099626AB" w:rsidR="0086452B" w:rsidRPr="0034214E" w:rsidRDefault="0086452B" w:rsidP="0086452B">
      <w:pPr>
        <w:pStyle w:val="Heading2"/>
      </w:pPr>
      <w:r w:rsidRPr="0034214E">
        <w:t xml:space="preserve">“Pledged Revenues” shall </w:t>
      </w:r>
      <w:r>
        <w:t>mean the TIF Revenue</w:t>
      </w:r>
      <w:r w:rsidRPr="00E768F7">
        <w:t xml:space="preserve"> remaining in the Special Fund each year after the Authority </w:t>
      </w:r>
      <w:r>
        <w:t>(</w:t>
      </w:r>
      <w:proofErr w:type="spellStart"/>
      <w:r>
        <w:t>i</w:t>
      </w:r>
      <w:proofErr w:type="spellEnd"/>
      <w:r>
        <w:t xml:space="preserve">) </w:t>
      </w:r>
      <w:r w:rsidRPr="00E768F7">
        <w:t>makes payments</w:t>
      </w:r>
      <w:r>
        <w:t>, if any,</w:t>
      </w:r>
      <w:r w:rsidRPr="00E768F7">
        <w:t xml:space="preserve"> to the Taxing </w:t>
      </w:r>
      <w:r>
        <w:t>Entities</w:t>
      </w:r>
      <w:r w:rsidRPr="00E768F7">
        <w:t xml:space="preserve"> pursuant to the Taxing </w:t>
      </w:r>
      <w:r>
        <w:t>Entity</w:t>
      </w:r>
      <w:r w:rsidRPr="00E768F7">
        <w:t xml:space="preserve"> Agreements</w:t>
      </w:r>
      <w:r w:rsidR="00222720">
        <w:t>, including, without limitation, payment of the District Operating Mill Levy Tax Increment Revenues to the BID,</w:t>
      </w:r>
      <w:r w:rsidRPr="00E768F7">
        <w:t xml:space="preserve"> </w:t>
      </w:r>
      <w:r>
        <w:t xml:space="preserve">and </w:t>
      </w:r>
      <w:r w:rsidRPr="00E768F7">
        <w:t>(</w:t>
      </w:r>
      <w:r>
        <w:t>ii</w:t>
      </w:r>
      <w:r w:rsidRPr="00E768F7">
        <w:t xml:space="preserve">) </w:t>
      </w:r>
      <w:r>
        <w:t>collects the Authority Administrative Fee</w:t>
      </w:r>
      <w:r w:rsidRPr="0034214E">
        <w:t>.</w:t>
      </w:r>
    </w:p>
    <w:p w14:paraId="53DE6883" w14:textId="77777777" w:rsidR="0086452B" w:rsidRDefault="0086452B" w:rsidP="0086452B">
      <w:pPr>
        <w:pStyle w:val="Heading2"/>
      </w:pPr>
      <w:r>
        <w:lastRenderedPageBreak/>
        <w:t>“PPLD” means the Pikes Peak Library District, a political subdivision of the State of Colorado.</w:t>
      </w:r>
    </w:p>
    <w:p w14:paraId="165C4B39" w14:textId="4ED1727E" w:rsidR="0086452B" w:rsidRDefault="0086452B" w:rsidP="0086452B">
      <w:pPr>
        <w:pStyle w:val="Heading2"/>
      </w:pPr>
      <w:r w:rsidRPr="003720DC">
        <w:t>“Private Improvements” means the improvements subject to ad valorem property taxes to be constructed on the Property by the Developer or an approved transferee of the Developer in accordance with the Concept Plan</w:t>
      </w:r>
      <w:r>
        <w:t xml:space="preserve">. </w:t>
      </w:r>
    </w:p>
    <w:p w14:paraId="54223532" w14:textId="2770AC5B" w:rsidR="00A47479" w:rsidRPr="00A47479" w:rsidRDefault="00A47479" w:rsidP="00A47479">
      <w:pPr>
        <w:pStyle w:val="Heading2"/>
      </w:pPr>
      <w:r>
        <w:t>“Project” means the undertakings of the Developer and the BID pursuant to the Concept Plan and in furtherance of the Urban Renewal Plan.</w:t>
      </w:r>
    </w:p>
    <w:p w14:paraId="6DBE972E" w14:textId="77777777" w:rsidR="0086452B" w:rsidRPr="0034214E" w:rsidRDefault="0086452B" w:rsidP="0086452B">
      <w:pPr>
        <w:pStyle w:val="Heading2"/>
      </w:pPr>
      <w:r w:rsidRPr="0034214E">
        <w:t>“Property” shall have the meaning set forth in Recital B.</w:t>
      </w:r>
    </w:p>
    <w:p w14:paraId="43BAB8DF" w14:textId="6D71A038" w:rsidR="0086452B" w:rsidRPr="0034214E" w:rsidRDefault="0086452B" w:rsidP="0086452B">
      <w:pPr>
        <w:pStyle w:val="Heading2"/>
      </w:pPr>
      <w:r w:rsidRPr="0034214E">
        <w:t xml:space="preserve">“Property Tax TIF” shall have the meaning set forth in Recital </w:t>
      </w:r>
      <w:r w:rsidR="00222720">
        <w:t>F</w:t>
      </w:r>
      <w:r w:rsidRPr="0034214E">
        <w:t>.</w:t>
      </w:r>
    </w:p>
    <w:p w14:paraId="6D5311E9" w14:textId="77777777" w:rsidR="0086452B" w:rsidRPr="0034214E" w:rsidRDefault="0086452B" w:rsidP="0086452B">
      <w:pPr>
        <w:pStyle w:val="Heading2"/>
      </w:pPr>
      <w:r w:rsidRPr="0034214E">
        <w:t xml:space="preserve">“Public Improvements” shall </w:t>
      </w:r>
      <w:r w:rsidRPr="00F10D8F">
        <w:t xml:space="preserve">mean the improvements or activities and undertakings listed in </w:t>
      </w:r>
      <w:r w:rsidRPr="00F10D8F">
        <w:rPr>
          <w:u w:val="single"/>
        </w:rPr>
        <w:t>Exhibit B</w:t>
      </w:r>
      <w:r w:rsidRPr="00F10D8F">
        <w:t xml:space="preserve"> that the Developer will construct in accordance with this Agreement</w:t>
      </w:r>
      <w:r w:rsidRPr="0034214E">
        <w:t>.</w:t>
      </w:r>
    </w:p>
    <w:p w14:paraId="26E2FBC0" w14:textId="77777777" w:rsidR="0086452B" w:rsidRPr="0034214E" w:rsidRDefault="0086452B" w:rsidP="0086452B">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Public Improvements constructed or otherwise provided by the Developer</w:t>
      </w:r>
      <w:r>
        <w:t xml:space="preserve"> or BID</w:t>
      </w:r>
      <w:r w:rsidRPr="00F10D8F">
        <w:t xml:space="preserve"> and shown on </w:t>
      </w:r>
      <w:r w:rsidRPr="00F10D8F">
        <w:rPr>
          <w:u w:val="single"/>
        </w:rPr>
        <w:t>Exhibit B</w:t>
      </w:r>
      <w:r w:rsidRPr="00F10D8F">
        <w:t xml:space="preserve"> attached hereto and made a part hereof</w:t>
      </w:r>
      <w:r>
        <w:t xml:space="preserve"> or </w:t>
      </w:r>
      <w:r w:rsidRPr="0034214E">
        <w:t>otherwise eligible to be reimbursed pursuant to the Act</w:t>
      </w:r>
      <w:r>
        <w:t>.</w:t>
      </w:r>
    </w:p>
    <w:p w14:paraId="6CE0C200" w14:textId="77777777" w:rsidR="0086452B" w:rsidRPr="0034214E" w:rsidRDefault="0086452B" w:rsidP="0086452B">
      <w:pPr>
        <w:pStyle w:val="Heading2"/>
      </w:pPr>
      <w:r w:rsidRPr="0034214E">
        <w:t xml:space="preserve">“Sales Tax TIF” shall </w:t>
      </w:r>
      <w:r>
        <w:t>mean, collectively, the City Sales Tax TIF, the City Use Tax TIF and the County Sales Tax TIF</w:t>
      </w:r>
      <w:r w:rsidRPr="0034214E">
        <w:t>.</w:t>
      </w:r>
    </w:p>
    <w:p w14:paraId="057F5E42" w14:textId="1AC7285C" w:rsidR="0086452B" w:rsidRDefault="0086452B" w:rsidP="0086452B">
      <w:pPr>
        <w:pStyle w:val="Heading2"/>
      </w:pPr>
      <w:r>
        <w:t>“SECWCD” means the Southeastern Colorado Water Conservancy District, a political subdivision of the State of Colorado.</w:t>
      </w:r>
    </w:p>
    <w:p w14:paraId="5F3583A9" w14:textId="1EBC92B0" w:rsidR="00FE74AD" w:rsidRDefault="00FE74AD" w:rsidP="003C61E2">
      <w:pPr>
        <w:pStyle w:val="Heading2"/>
      </w:pPr>
      <w:r>
        <w:t>“</w:t>
      </w:r>
      <w:r w:rsidRPr="00FE74AD">
        <w:t>Series 2020A Supplemental Indenture</w:t>
      </w:r>
      <w:r>
        <w:t xml:space="preserve">” </w:t>
      </w:r>
      <w:r w:rsidRPr="00FE74AD">
        <w:t>shall have the meaning set forth in Section 7.2.</w:t>
      </w:r>
    </w:p>
    <w:p w14:paraId="656404BF" w14:textId="0F41826F" w:rsidR="003C61E2" w:rsidRPr="003C61E2" w:rsidRDefault="003C61E2" w:rsidP="003C61E2">
      <w:pPr>
        <w:pStyle w:val="Heading2"/>
      </w:pPr>
      <w:r>
        <w:t>“Service Plan” means that certain “Service Plan for SW Downtown Metropolitan District Nos. 1-2” approved by the City Council of the City on September 26, 2017 pursuant to Resolution No. 107-17</w:t>
      </w:r>
      <w:r w:rsidR="005D2ECA">
        <w:t>, as the same may be amended from time to time</w:t>
      </w:r>
      <w:r>
        <w:t>.</w:t>
      </w:r>
    </w:p>
    <w:p w14:paraId="024FBEF4" w14:textId="794269A6" w:rsidR="0086452B" w:rsidRDefault="0086452B" w:rsidP="0086452B">
      <w:pPr>
        <w:pStyle w:val="Heading2"/>
      </w:pPr>
      <w:r>
        <w:t xml:space="preserve">“Soft Costs” means the reasonable and necessary soft costs incurred by the </w:t>
      </w:r>
      <w:r w:rsidR="00222720">
        <w:t xml:space="preserve">BID or </w:t>
      </w:r>
      <w:r>
        <w:t xml:space="preserve">Developer related to the Public Improvements, the Urban Renewal Plan, and the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14:paraId="485D5A3A" w14:textId="12F27A6D" w:rsidR="0086452B" w:rsidRDefault="0086452B" w:rsidP="0086452B">
      <w:pPr>
        <w:pStyle w:val="Heading2"/>
      </w:pPr>
      <w:r w:rsidRPr="00B85F3D">
        <w:t>“</w:t>
      </w:r>
      <w:r>
        <w:t>Special Fund</w:t>
      </w:r>
      <w:r w:rsidRPr="00B85F3D">
        <w:t xml:space="preserve">” shall have the meaning set forth in Section </w:t>
      </w:r>
      <w:r>
        <w:t>7.</w:t>
      </w:r>
      <w:r w:rsidR="000110FC">
        <w:t>8</w:t>
      </w:r>
      <w:r w:rsidRPr="00B85F3D">
        <w:t>.</w:t>
      </w:r>
    </w:p>
    <w:p w14:paraId="18E35D6F" w14:textId="6CC4BAE2" w:rsidR="00D139B3" w:rsidRPr="00D139B3" w:rsidRDefault="00D139B3" w:rsidP="00D139B3">
      <w:pPr>
        <w:pStyle w:val="Heading2"/>
      </w:pPr>
      <w:r>
        <w:t>“SW Downtown Development Agreement” means that certain Cooperation Agreement</w:t>
      </w:r>
      <w:r w:rsidR="00A716E2">
        <w:t xml:space="preserve"> for Redevelopment of Portions of Southwest Downtown, Colorado Springs, Colorado</w:t>
      </w:r>
      <w:r>
        <w:t xml:space="preserve"> </w:t>
      </w:r>
      <w:r>
        <w:lastRenderedPageBreak/>
        <w:t xml:space="preserve">by and among the City, Colorado Springs Utilities, the BID, the Authority and the Developer dated as of </w:t>
      </w:r>
      <w:r w:rsidR="00214F12">
        <w:t>February 11</w:t>
      </w:r>
      <w:r w:rsidR="00A716E2">
        <w:t>, 2020</w:t>
      </w:r>
      <w:r>
        <w:t xml:space="preserve"> regarding development of certain portions of southwest downtown Colorado Springs.</w:t>
      </w:r>
    </w:p>
    <w:p w14:paraId="405B36C5" w14:textId="6E893AD7" w:rsidR="0086452B" w:rsidRDefault="0086452B" w:rsidP="0086452B">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xml:space="preserve">.  The Taxing Entities are the </w:t>
      </w:r>
      <w:r w:rsidR="00222720">
        <w:t xml:space="preserve">City, the </w:t>
      </w:r>
      <w:r>
        <w:t xml:space="preserve">County, </w:t>
      </w:r>
      <w:r w:rsidR="00222720">
        <w:t xml:space="preserve">the BID, </w:t>
      </w:r>
      <w:r>
        <w:t xml:space="preserve">D11, </w:t>
      </w:r>
      <w:r w:rsidR="00B80988">
        <w:t xml:space="preserve">the Metro Districts, </w:t>
      </w:r>
      <w:r>
        <w:t xml:space="preserve">PPLD, CSDDA and SECWCD. </w:t>
      </w:r>
    </w:p>
    <w:p w14:paraId="0650E9EE" w14:textId="431CB441" w:rsidR="0086452B" w:rsidRDefault="0086452B" w:rsidP="0086452B">
      <w:pPr>
        <w:pStyle w:val="Heading2"/>
      </w:pPr>
      <w:r>
        <w:t xml:space="preserve">“Taxing Entity Agreements” means those certain property tax (and sales tax, as applicable) revenue agreements by and between the Authority and each of the Taxing Entities made pursuant to C.R.S. § 31-25-107(9.5), including, without limitation, the Cooperation Agreement and the County Agreement, </w:t>
      </w:r>
      <w:r w:rsidRPr="00F72DCC">
        <w:t>as the same may be amended from time to time</w:t>
      </w:r>
      <w:r>
        <w:t>.</w:t>
      </w:r>
      <w:r w:rsidR="00222720">
        <w:t xml:space="preserve">  This Agreement shall constitute the Taxing Entity Agreement between the Authority and the BID</w:t>
      </w:r>
      <w:r w:rsidR="00CC0B86">
        <w:t>.</w:t>
      </w:r>
    </w:p>
    <w:p w14:paraId="692AF213" w14:textId="5DA831CD" w:rsidR="0086452B" w:rsidRDefault="0086452B" w:rsidP="0086452B">
      <w:pPr>
        <w:pStyle w:val="Heading2"/>
      </w:pPr>
      <w:r>
        <w:t xml:space="preserve">“TIF Revenue” shall mean the Property Tax TIF plus the Sales Tax TIF.  </w:t>
      </w:r>
    </w:p>
    <w:p w14:paraId="188B7A24" w14:textId="5171EE62" w:rsidR="00222720" w:rsidRPr="00222720" w:rsidRDefault="00222720" w:rsidP="00DC69AC">
      <w:pPr>
        <w:pStyle w:val="Heading2"/>
      </w:pPr>
      <w:r w:rsidRPr="00DC69AC">
        <w:t>“Trustee”</w:t>
      </w:r>
      <w:r w:rsidR="00DC69AC">
        <w:t xml:space="preserve"> </w:t>
      </w:r>
      <w:r w:rsidR="000110FC">
        <w:t>shall have the meaning set forth in Section 7.2</w:t>
      </w:r>
      <w:r w:rsidR="00DC69AC">
        <w:t>.</w:t>
      </w:r>
    </w:p>
    <w:p w14:paraId="2F95BFF6" w14:textId="77777777" w:rsidR="0086452B" w:rsidRDefault="0086452B" w:rsidP="0086452B">
      <w:pPr>
        <w:pStyle w:val="Heading2"/>
      </w:pPr>
      <w:r w:rsidRPr="0034214E">
        <w:t>“Urban Renewal Plan” shall have the meaning set forth in Recital B.</w:t>
      </w:r>
    </w:p>
    <w:p w14:paraId="1EF1F9EA" w14:textId="77777777" w:rsidR="0086452B" w:rsidRPr="00A37C81" w:rsidRDefault="0086452B" w:rsidP="0086452B">
      <w:pPr>
        <w:pStyle w:val="Heading2"/>
      </w:pPr>
      <w:r>
        <w:t>“</w:t>
      </w:r>
      <w:proofErr w:type="spellStart"/>
      <w:r w:rsidRPr="00A37C81">
        <w:t>Vermijo</w:t>
      </w:r>
      <w:proofErr w:type="spellEnd"/>
      <w:r w:rsidRPr="00A37C81">
        <w:t xml:space="preserve"> and Sierra Madre Improvements</w:t>
      </w:r>
      <w:r>
        <w:t>” shall have the meaning set forth in Section 6.4.</w:t>
      </w:r>
    </w:p>
    <w:p w14:paraId="440D4CAA" w14:textId="14F04064" w:rsidR="0086452B" w:rsidRDefault="008129FB" w:rsidP="0086452B">
      <w:pPr>
        <w:pStyle w:val="Heading1"/>
      </w:pPr>
      <w:r>
        <w:t>THE BID</w:t>
      </w:r>
      <w:r w:rsidR="00E3188A">
        <w:t xml:space="preserve"> </w:t>
      </w:r>
      <w:r w:rsidR="00A716E2">
        <w:t>AND THE METRO DISTRICTS</w:t>
      </w:r>
    </w:p>
    <w:p w14:paraId="3926BDD2" w14:textId="2D505280" w:rsidR="008129FB" w:rsidRDefault="00C4524B" w:rsidP="008129FB">
      <w:pPr>
        <w:pStyle w:val="Heading2"/>
      </w:pPr>
      <w:r>
        <w:rPr>
          <w:u w:val="single"/>
        </w:rPr>
        <w:t xml:space="preserve">BID </w:t>
      </w:r>
      <w:r w:rsidR="008129FB" w:rsidRPr="008129FB">
        <w:rPr>
          <w:u w:val="single"/>
        </w:rPr>
        <w:t>Purpose</w:t>
      </w:r>
      <w:r w:rsidR="008129FB">
        <w:t xml:space="preserve">.  Pursuant to the City’s Ordinance No. 17-94 and the Operating Plan, the BID’s primary purpose is to provide for the financing, acquisition, construction, completion, installation, replacement and/or operation and maintenance of the services and public improvements necessary to support the development of a commercial mixed-use development located near the north entrance of the </w:t>
      </w:r>
      <w:r w:rsidR="00E3188A">
        <w:t>Project</w:t>
      </w:r>
      <w:r w:rsidR="008129FB">
        <w:t>.  The Operating Plan authorized the BID to impose a debt service mill levy not to exceed 50 mills and an operations and maintenance mill levy not to exceed 10 mills in 2020 (for collection in 2021), and to establish public improvement fees and any other lawful revenue source, and may use the revenues derived therefrom to pay for the Project.</w:t>
      </w:r>
    </w:p>
    <w:p w14:paraId="1E4CE64D" w14:textId="02A5DD65" w:rsidR="008129FB" w:rsidRDefault="008129FB" w:rsidP="008129FB">
      <w:pPr>
        <w:pStyle w:val="Heading2"/>
      </w:pPr>
      <w:r>
        <w:rPr>
          <w:u w:val="single"/>
        </w:rPr>
        <w:t>BID</w:t>
      </w:r>
      <w:r w:rsidRPr="008129FB">
        <w:rPr>
          <w:u w:val="single"/>
        </w:rPr>
        <w:t xml:space="preserve"> Reimbursement Agreement</w:t>
      </w:r>
      <w:r>
        <w:t xml:space="preserve">.  The BID and the Developer entered into a </w:t>
      </w:r>
      <w:r w:rsidR="006410A0">
        <w:t xml:space="preserve">Reimbursement </w:t>
      </w:r>
      <w:r>
        <w:t xml:space="preserve">Agreement </w:t>
      </w:r>
      <w:r w:rsidR="006410A0">
        <w:t xml:space="preserve">for Operations </w:t>
      </w:r>
      <w:r>
        <w:t>dated December 1</w:t>
      </w:r>
      <w:r w:rsidR="006410A0">
        <w:t>4</w:t>
      </w:r>
      <w:r>
        <w:t>, 201</w:t>
      </w:r>
      <w:r w:rsidR="006410A0">
        <w:t>7</w:t>
      </w:r>
      <w:r>
        <w:t xml:space="preserve"> (the “District Reimbursement Agreement”), wherein the Developer agreed to either initially construct certain public infrastructure improvements to convey to the </w:t>
      </w:r>
      <w:r w:rsidR="006410A0">
        <w:t>BID</w:t>
      </w:r>
      <w:r>
        <w:t xml:space="preserve">, or to initially fund the construction of the improvements by the </w:t>
      </w:r>
      <w:r w:rsidR="006410A0">
        <w:t>BID</w:t>
      </w:r>
      <w:r>
        <w:t xml:space="preserve">, which improvements include but are not limited to water, sanitary sewer, park and recreation facilities, roadways, street and safety protection improvements, drainage improvements, and any other public improvements authorized by the Operating Plan. </w:t>
      </w:r>
      <w:r w:rsidR="006410A0">
        <w:t xml:space="preserve"> </w:t>
      </w:r>
      <w:r>
        <w:t xml:space="preserve">The </w:t>
      </w:r>
      <w:r w:rsidR="006410A0">
        <w:t>BID</w:t>
      </w:r>
      <w:r>
        <w:t xml:space="preserve"> and the Developer determined that for reasons of economic efficiency and timeliness it is in the best interests of the </w:t>
      </w:r>
      <w:r w:rsidR="006410A0">
        <w:t>BID</w:t>
      </w:r>
      <w:r>
        <w:t xml:space="preserve"> to establish a means by which either (1) the Developer will construct or cause to have constructed by a general contractor the </w:t>
      </w:r>
      <w:r w:rsidR="006410A0">
        <w:t>Public</w:t>
      </w:r>
      <w:r>
        <w:t xml:space="preserve"> Improvements which the </w:t>
      </w:r>
      <w:r w:rsidR="006410A0">
        <w:t>BID</w:t>
      </w:r>
      <w:r>
        <w:t xml:space="preserve"> will acquire after they have been completed; or (2) the Developer will initially fund the construction and installation of the </w:t>
      </w:r>
      <w:r w:rsidR="006410A0">
        <w:t>Public</w:t>
      </w:r>
      <w:r>
        <w:t xml:space="preserve"> Improvements subject to reimbursement as provided in the </w:t>
      </w:r>
      <w:r w:rsidR="006410A0">
        <w:t>District Reimbursement</w:t>
      </w:r>
      <w:r>
        <w:t xml:space="preserve"> Agreement.  As an alternative to the Developer’s construction of and </w:t>
      </w:r>
      <w:r>
        <w:lastRenderedPageBreak/>
        <w:t xml:space="preserve">the </w:t>
      </w:r>
      <w:r w:rsidR="006410A0">
        <w:t>BID’s</w:t>
      </w:r>
      <w:r>
        <w:t xml:space="preserve"> subsequent acquisition of the </w:t>
      </w:r>
      <w:r w:rsidR="006410A0">
        <w:t>Public</w:t>
      </w:r>
      <w:r>
        <w:t xml:space="preserve"> Improvements, at the Developer’s election, the </w:t>
      </w:r>
      <w:r w:rsidR="006410A0">
        <w:t>BID</w:t>
      </w:r>
      <w:r>
        <w:t xml:space="preserve"> may construct all or a portion of the </w:t>
      </w:r>
      <w:r w:rsidR="006410A0">
        <w:t>Public</w:t>
      </w:r>
      <w:r>
        <w:t xml:space="preserve"> Improvements and acquire related real property interests.  </w:t>
      </w:r>
    </w:p>
    <w:p w14:paraId="37D5192E" w14:textId="35D0C076" w:rsidR="008129FB" w:rsidRDefault="00A716E2" w:rsidP="008129FB">
      <w:pPr>
        <w:pStyle w:val="Heading2"/>
      </w:pPr>
      <w:r>
        <w:rPr>
          <w:u w:val="single"/>
        </w:rPr>
        <w:t>BID</w:t>
      </w:r>
      <w:r w:rsidR="008129FB" w:rsidRPr="008129FB">
        <w:rPr>
          <w:u w:val="single"/>
        </w:rPr>
        <w:t xml:space="preserve"> Operating Mill Levy Tax Increment Revenues</w:t>
      </w:r>
      <w:r w:rsidR="008129FB">
        <w:t xml:space="preserve">.   </w:t>
      </w:r>
    </w:p>
    <w:p w14:paraId="0533D2E1" w14:textId="23E32DE6" w:rsidR="008129FB" w:rsidRDefault="008129FB" w:rsidP="008129FB">
      <w:pPr>
        <w:pStyle w:val="Heading3"/>
      </w:pPr>
      <w:r>
        <w:t xml:space="preserve">In order to facilitate the funding by the </w:t>
      </w:r>
      <w:r w:rsidR="00E3188A">
        <w:t>BID</w:t>
      </w:r>
      <w:r>
        <w:t xml:space="preserve"> of the costs of operations and maintenance services, the Authority hereby agrees that it will segregate and promptly remit, on a monthly basis, to the </w:t>
      </w:r>
      <w:r w:rsidR="00E3188A">
        <w:t>BID</w:t>
      </w:r>
      <w:r>
        <w:t xml:space="preserve">, all District Operating Mill Levy Tax Increment Revenues.  Notwithstanding the foregoing, the Authority shall have the obligation to remit such District Operating Mill Levy Tax Increment Revenues to the </w:t>
      </w:r>
      <w:r w:rsidR="00E3188A">
        <w:t>BID</w:t>
      </w:r>
      <w:r>
        <w:t xml:space="preserve"> solely to the extent the Authority receives the same.  </w:t>
      </w:r>
    </w:p>
    <w:p w14:paraId="302DBB0F" w14:textId="54BA25DC" w:rsidR="008129FB" w:rsidRDefault="008129FB" w:rsidP="008129FB">
      <w:pPr>
        <w:pStyle w:val="Heading3"/>
      </w:pPr>
      <w:r>
        <w:t xml:space="preserve">The </w:t>
      </w:r>
      <w:r w:rsidR="00E3188A">
        <w:t>BID</w:t>
      </w:r>
      <w:r>
        <w:t xml:space="preserve"> agrees to use all District Operating Mill Levy Tax Increment Revenues to fund the costs of operations and maintenance services.</w:t>
      </w:r>
    </w:p>
    <w:p w14:paraId="656E0690" w14:textId="55B5DBCC" w:rsidR="008129FB" w:rsidRDefault="00F91C14" w:rsidP="008129FB">
      <w:pPr>
        <w:pStyle w:val="Heading3"/>
      </w:pPr>
      <w:r>
        <w:t>T</w:t>
      </w:r>
      <w:r w:rsidR="008129FB" w:rsidRPr="00A81F43">
        <w:t xml:space="preserve">he Authority will apply any Property Tax TIF received in respect of the District Debt Service Mill Levy </w:t>
      </w:r>
      <w:r>
        <w:t>in the same manner as the other Pledged Revenues</w:t>
      </w:r>
      <w:r w:rsidR="008129FB" w:rsidRPr="00A81F43">
        <w:t>.</w:t>
      </w:r>
      <w:r w:rsidR="00E3188A">
        <w:t xml:space="preserve"> </w:t>
      </w:r>
    </w:p>
    <w:p w14:paraId="48FEB387" w14:textId="595A99A5" w:rsidR="008129FB" w:rsidRDefault="008129FB" w:rsidP="008129FB">
      <w:r>
        <w:t>For purposes of this Section 3.3, the following capitalized terms shall have the following meanings:</w:t>
      </w:r>
    </w:p>
    <w:p w14:paraId="6E3A2D7D" w14:textId="77777777" w:rsidR="008129FB" w:rsidRDefault="008129FB" w:rsidP="008129FB">
      <w:pPr>
        <w:pStyle w:val="Heading4"/>
      </w:pPr>
      <w:r>
        <w:t>“Base Valuation” means, with respect to the Property, the total assessed valuation of all taxable property last certified by the assessor prior to the effective date of the approval of the Urban Renewal Plan, as the same may be subsequently adjusted in accordance with the Act.</w:t>
      </w:r>
    </w:p>
    <w:p w14:paraId="48F00062" w14:textId="17ED8EA1" w:rsidR="008129FB" w:rsidRDefault="008129FB" w:rsidP="008129FB">
      <w:pPr>
        <w:pStyle w:val="Heading4"/>
      </w:pPr>
      <w:r>
        <w:t>“District Operating Mill Levy Tax Increment Revenues” means the portion of Property Tax Increment Revenues attributable to the District Operating Mill Levy.</w:t>
      </w:r>
    </w:p>
    <w:p w14:paraId="3A4B7FB3" w14:textId="77777777" w:rsidR="008129FB" w:rsidRDefault="008129FB" w:rsidP="008129FB">
      <w:pPr>
        <w:pStyle w:val="Heading4"/>
      </w:pPr>
      <w:r>
        <w:t>“District Operating Mill Levy” means the operations and maintenance mill levy described in the Operating Plan.</w:t>
      </w:r>
    </w:p>
    <w:p w14:paraId="7D6ED688" w14:textId="77777777" w:rsidR="008129FB" w:rsidRDefault="008129FB" w:rsidP="008129FB">
      <w:pPr>
        <w:pStyle w:val="Heading4"/>
      </w:pPr>
      <w:r>
        <w:t>“Incremental Valuation” means, with respect to the Property, the amount of assessed valuation, if any, which exceeds the Base Valuation.</w:t>
      </w:r>
    </w:p>
    <w:p w14:paraId="20291DD0" w14:textId="77777777" w:rsidR="008129FB" w:rsidRDefault="008129FB" w:rsidP="008129FB">
      <w:pPr>
        <w:pStyle w:val="Heading4"/>
      </w:pPr>
      <w:r>
        <w:t>“Property Tax Increment Revenues” means the ad valorem property tax revenues collected on the Incremental Valuation of all taxable property located within the Property.</w:t>
      </w:r>
    </w:p>
    <w:p w14:paraId="64697885" w14:textId="3A5CA2AD" w:rsidR="008129FB" w:rsidRDefault="008129FB" w:rsidP="008129FB">
      <w:pPr>
        <w:pStyle w:val="Heading3"/>
      </w:pPr>
      <w:r>
        <w:t xml:space="preserve">Any limitation or procedure for the disbursement of Property Tax TIF funds elsewhere in this Agreement shall not apply to the District Operating Mill Levy Tax Increment Revenues, the disbursement of which shall be governed solely by this Section 3.3 and any subsequent writing executed by the </w:t>
      </w:r>
      <w:r w:rsidR="00E3188A">
        <w:t>BID</w:t>
      </w:r>
      <w:r>
        <w:t xml:space="preserve"> and the Authority.</w:t>
      </w:r>
    </w:p>
    <w:p w14:paraId="0ED98B69" w14:textId="342F5043" w:rsidR="00A81F43" w:rsidRPr="00A81F43" w:rsidRDefault="00C4524B" w:rsidP="00614A37">
      <w:pPr>
        <w:pStyle w:val="Heading2"/>
      </w:pPr>
      <w:r w:rsidRPr="00614A37">
        <w:rPr>
          <w:u w:val="single"/>
        </w:rPr>
        <w:t>Metro Districts</w:t>
      </w:r>
      <w:r>
        <w:t xml:space="preserve">.  </w:t>
      </w:r>
      <w:r w:rsidR="0025398D">
        <w:t xml:space="preserve">The boundaries of the Metro Districts are substantially identical to the boundaries of the Area and the BID.  </w:t>
      </w:r>
      <w:r w:rsidRPr="00C4524B">
        <w:t xml:space="preserve">Pursuant to the City’s </w:t>
      </w:r>
      <w:r>
        <w:t>Resolution</w:t>
      </w:r>
      <w:r w:rsidRPr="00C4524B">
        <w:t xml:space="preserve"> No. </w:t>
      </w:r>
      <w:r>
        <w:t>107-</w:t>
      </w:r>
      <w:r w:rsidRPr="00C4524B">
        <w:t xml:space="preserve">17 and the </w:t>
      </w:r>
      <w:r>
        <w:lastRenderedPageBreak/>
        <w:t>Service</w:t>
      </w:r>
      <w:r w:rsidRPr="00C4524B">
        <w:t xml:space="preserve"> Plan, the </w:t>
      </w:r>
      <w:r>
        <w:t>Metro Districts’</w:t>
      </w:r>
      <w:r w:rsidRPr="00C4524B">
        <w:t xml:space="preserve"> primary purpose is to provide for the public improvements </w:t>
      </w:r>
      <w:r>
        <w:t xml:space="preserve">described on Exhibit D to the Service Plan </w:t>
      </w:r>
      <w:r w:rsidR="0025398D">
        <w:t xml:space="preserve">for the use and benefit of all anticipated inhabitants and taxpayers of the Metro Districts and </w:t>
      </w:r>
      <w:r w:rsidR="00F91C14">
        <w:t xml:space="preserve">to </w:t>
      </w:r>
      <w:r w:rsidR="0025398D">
        <w:t>finance such public improvements</w:t>
      </w:r>
      <w:r w:rsidRPr="00C4524B">
        <w:t xml:space="preserve">.  </w:t>
      </w:r>
      <w:r w:rsidR="0025398D">
        <w:t>In furtherance thereof, t</w:t>
      </w:r>
      <w:r w:rsidRPr="00C4524B">
        <w:t xml:space="preserve">he </w:t>
      </w:r>
      <w:r>
        <w:t>Service</w:t>
      </w:r>
      <w:r w:rsidRPr="00C4524B">
        <w:t xml:space="preserve"> Plan authorize</w:t>
      </w:r>
      <w:r>
        <w:t xml:space="preserve">s each of the Metro Districts </w:t>
      </w:r>
      <w:r w:rsidRPr="00C4524B">
        <w:t>to impose a debt service mill levy not to exceed 50 mills and an operations and maintenance mill levy not to exceed 10 mills.</w:t>
      </w:r>
      <w:r>
        <w:t xml:space="preserve">  </w:t>
      </w:r>
      <w:r w:rsidR="00614A37">
        <w:t>In furtherance of the objectives of the Plan and the Project, p</w:t>
      </w:r>
      <w:r>
        <w:t xml:space="preserve">ursuant to the Taxing Entity Agreement between the Metro Districts and the Authority, the </w:t>
      </w:r>
      <w:r w:rsidR="00614A37">
        <w:t>Property Tax TIF generated by the Metro Districts’ mill levies shall not be included in the Pledged Revenues</w:t>
      </w:r>
      <w:r w:rsidR="0025398D">
        <w:t xml:space="preserve"> but shall be applied by the Metro Districts in accordance with the Service Plan</w:t>
      </w:r>
      <w:r w:rsidR="00614A37">
        <w:t xml:space="preserve">.  Pursuant to the Indentures or the Metro District Pledge Agreement, the Metro Districts may be required to deliver all or a portion of such Property Tax TIF revenues to the </w:t>
      </w:r>
      <w:r w:rsidR="0025398D">
        <w:t xml:space="preserve">BID or the </w:t>
      </w:r>
      <w:r w:rsidR="00614A37">
        <w:t xml:space="preserve">Trustee in support of the BID Bonds, but the Authority shall have no liability to the Developer, the BID or the Trustee </w:t>
      </w:r>
      <w:r w:rsidR="0025398D">
        <w:t xml:space="preserve">or any bondholders </w:t>
      </w:r>
      <w:r w:rsidR="00614A37">
        <w:t>with regard to any such Property Tax TIF revenues</w:t>
      </w:r>
      <w:r w:rsidR="00F24C1A">
        <w:t xml:space="preserve"> </w:t>
      </w:r>
      <w:r w:rsidR="00F91C14">
        <w:t>delivered to</w:t>
      </w:r>
      <w:r w:rsidR="00F24C1A">
        <w:t xml:space="preserve"> the Metro Districts</w:t>
      </w:r>
      <w:r w:rsidR="00F91C14">
        <w:t xml:space="preserve"> by the Authority</w:t>
      </w:r>
      <w:r w:rsidR="00614A37">
        <w:t xml:space="preserve">. </w:t>
      </w:r>
    </w:p>
    <w:p w14:paraId="4D42FA9C" w14:textId="77777777" w:rsidR="0086452B" w:rsidRDefault="0086452B" w:rsidP="0086452B">
      <w:pPr>
        <w:pStyle w:val="Heading1"/>
      </w:pPr>
      <w:r w:rsidRPr="0034214E">
        <w:t>DESCRIPTION OF DEVELOPMENT AND PUBLIC IMPROVEMENTS</w:t>
      </w:r>
    </w:p>
    <w:p w14:paraId="1D951F3F" w14:textId="4D1BB865" w:rsidR="0086452B" w:rsidRPr="008158CB" w:rsidRDefault="0086452B" w:rsidP="0086452B">
      <w:pPr>
        <w:pStyle w:val="Heading2"/>
        <w:rPr>
          <w:spacing w:val="-4"/>
        </w:rPr>
      </w:pPr>
      <w:r w:rsidRPr="008158CB">
        <w:t>Development of the Property may occur in phases (each a “Phase”).  Development will consist of (</w:t>
      </w:r>
      <w:proofErr w:type="spellStart"/>
      <w:r w:rsidRPr="008158CB">
        <w:t>i</w:t>
      </w:r>
      <w:proofErr w:type="spellEnd"/>
      <w:r w:rsidRPr="008158CB">
        <w:t xml:space="preserve">) the Private Improvements, which shall consist of the commercial and residential uses more particularly described in the Concept Plan and (ii) the Public Improvements on </w:t>
      </w:r>
      <w:r w:rsidR="00F15320">
        <w:t xml:space="preserve">or benefitting </w:t>
      </w:r>
      <w:r w:rsidRPr="008158CB">
        <w:t>the Property (collectively, the “Improvements”).  Development shall take place as depicted on the Concept Plan, as updated and completed by agreement of the Parties, and as contemplated in any development plan approved as provided in this Agreement (each a “Development Plan”), the Operating Plan and the provisions of this Agreement, as applicable.</w:t>
      </w:r>
    </w:p>
    <w:p w14:paraId="7CDC6EED" w14:textId="77777777" w:rsidR="0086452B" w:rsidRDefault="0086452B" w:rsidP="0086452B">
      <w:pPr>
        <w:pStyle w:val="Heading2"/>
        <w:rPr>
          <w:spacing w:val="-4"/>
        </w:rPr>
      </w:pPr>
      <w:r>
        <w:rPr>
          <w:spacing w:val="-4"/>
        </w:rPr>
        <w:t xml:space="preserve">It is the goal of the </w:t>
      </w:r>
      <w:r w:rsidRPr="008158CB">
        <w:rPr>
          <w:spacing w:val="-4"/>
        </w:rPr>
        <w:t xml:space="preserve">Developer and the BID to construct on the Property the Improvements required to </w:t>
      </w:r>
      <w:r>
        <w:rPr>
          <w:spacing w:val="-4"/>
        </w:rPr>
        <w:t>implement</w:t>
      </w:r>
      <w:r w:rsidRPr="008158CB">
        <w:rPr>
          <w:spacing w:val="-4"/>
        </w:rPr>
        <w:t xml:space="preserve"> the Concept Plan as it applies to the Property.  Specifically, with respect to the first Phase of the Project, </w:t>
      </w:r>
    </w:p>
    <w:p w14:paraId="2F987F65" w14:textId="77777777" w:rsidR="0086452B" w:rsidRPr="005A3C26" w:rsidRDefault="0086452B" w:rsidP="0086452B">
      <w:pPr>
        <w:pStyle w:val="Article2L2"/>
        <w:numPr>
          <w:ilvl w:val="0"/>
          <w:numId w:val="0"/>
        </w:numPr>
        <w:ind w:left="720"/>
        <w:rPr>
          <w:lang w:eastAsia="zh-CN"/>
        </w:rPr>
      </w:pPr>
      <w:r w:rsidRPr="005A3C26">
        <w:t>The private, vertical construction envisioned for Phase 1 includes the following:</w:t>
      </w:r>
    </w:p>
    <w:p w14:paraId="085C24EE" w14:textId="77777777" w:rsidR="0086452B" w:rsidRPr="005A3C26" w:rsidRDefault="0086452B" w:rsidP="0086452B">
      <w:pPr>
        <w:pStyle w:val="Article2L4"/>
      </w:pPr>
      <w:r w:rsidRPr="005A3C26">
        <w:t>A residential development, consisting of approximately 300 units, and generally referred to as “Parkside;”</w:t>
      </w:r>
    </w:p>
    <w:p w14:paraId="52016CC4" w14:textId="77777777" w:rsidR="0086452B" w:rsidRPr="005A3C26" w:rsidRDefault="0086452B" w:rsidP="0086452B">
      <w:pPr>
        <w:pStyle w:val="Article2L4"/>
      </w:pPr>
      <w:r w:rsidRPr="005A3C26">
        <w:t>An office building, consisting of approximately 180,000 square feet; and</w:t>
      </w:r>
    </w:p>
    <w:p w14:paraId="1BB67EC9" w14:textId="77777777" w:rsidR="0086452B" w:rsidRPr="005A3C26" w:rsidRDefault="0086452B" w:rsidP="0086452B">
      <w:pPr>
        <w:pStyle w:val="Article2L4"/>
      </w:pPr>
      <w:r w:rsidRPr="005A3C26">
        <w:t>A hotel, which may consist of approximately 240 rooms.</w:t>
      </w:r>
    </w:p>
    <w:p w14:paraId="432AA7DB" w14:textId="77777777" w:rsidR="0086452B" w:rsidRPr="0034214E" w:rsidRDefault="0086452B" w:rsidP="00E516F7">
      <w:pPr>
        <w:pStyle w:val="Heading2"/>
      </w:pPr>
      <w:r w:rsidRPr="0034214E">
        <w:t xml:space="preserve">Subject to the terms and conditions of this Agreement, </w:t>
      </w:r>
      <w:r>
        <w:t xml:space="preserve">if the Developer elects to undertake all or a portion of the Improvements, </w:t>
      </w:r>
      <w:r w:rsidRPr="0034214E">
        <w:t>the Developer agrees to finance and to construct, or, cause to be constructed, all Improvements necessary to develop the Property in accordance with the Concept Plan.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w:t>
      </w:r>
      <w:r w:rsidRPr="0034214E">
        <w:rPr>
          <w:b/>
        </w:rPr>
        <w:t xml:space="preserve"> </w:t>
      </w:r>
      <w:r w:rsidRPr="0034214E">
        <w:t>Agreement.</w:t>
      </w:r>
    </w:p>
    <w:p w14:paraId="5676574C" w14:textId="77777777" w:rsidR="0086452B" w:rsidRPr="0034214E" w:rsidRDefault="0086452B" w:rsidP="0086452B">
      <w:pPr>
        <w:pStyle w:val="Heading1"/>
      </w:pPr>
      <w:r w:rsidRPr="0034214E">
        <w:t>PREPARATION OF THE PROJECT FOR DEVELOPMENT</w:t>
      </w:r>
    </w:p>
    <w:p w14:paraId="14FFD72D" w14:textId="77777777" w:rsidR="0086452B" w:rsidRPr="0034214E" w:rsidRDefault="0086452B" w:rsidP="0086452B">
      <w:pPr>
        <w:pStyle w:val="Heading2"/>
      </w:pPr>
      <w:r w:rsidRPr="0034214E">
        <w:rPr>
          <w:u w:val="single"/>
        </w:rPr>
        <w:t>Zoning</w:t>
      </w:r>
      <w:r w:rsidRPr="0034214E">
        <w:t xml:space="preserve">.  The Authority is not requiring the Developer to rezone the Property, but the Developer agrees to comply with all applicable City codes, ordinances and planning </w:t>
      </w:r>
      <w:r w:rsidRPr="0034214E">
        <w:lastRenderedPageBreak/>
        <w:t xml:space="preserve">requirements with regard to development of the Property and construction of the Improvements, including if required by the City, to rezone part of the Property.  </w:t>
      </w:r>
    </w:p>
    <w:p w14:paraId="35EEA7A6" w14:textId="59BB6767" w:rsidR="0086452B" w:rsidRPr="0034214E" w:rsidRDefault="0086452B" w:rsidP="0086452B">
      <w:pPr>
        <w:pStyle w:val="Heading2"/>
      </w:pPr>
      <w:r w:rsidRPr="0034214E">
        <w:rPr>
          <w:u w:val="single"/>
        </w:rPr>
        <w:t>Public Improvements</w:t>
      </w:r>
      <w:r w:rsidRPr="0034214E">
        <w:t>.  The Developer</w:t>
      </w:r>
      <w:r>
        <w:t xml:space="preserve"> or the BID, as applicable,</w:t>
      </w:r>
      <w:r w:rsidRPr="0034214E">
        <w:t xml:space="preserve"> shall design and construct </w:t>
      </w:r>
      <w:r>
        <w:t xml:space="preserve">or cause the designing and construction of </w:t>
      </w:r>
      <w:r w:rsidRPr="0034214E">
        <w:t xml:space="preserve">the Public Improvements for the Property.  </w:t>
      </w:r>
      <w:r>
        <w:t>T</w:t>
      </w:r>
      <w:r w:rsidRPr="0034214E">
        <w:t xml:space="preserve">he Developer </w:t>
      </w:r>
      <w:r>
        <w:t xml:space="preserve">or BID as applicable </w:t>
      </w:r>
      <w:r w:rsidRPr="0034214E">
        <w:t xml:space="preserve">shall construct, in the public right-of-way and/or easements, all mains and lines necessary for the Public Improvements and necessary to provide water, sanitary sewer, storm sewer, natural gas and electricity for the Improvements.  The construction and installation of such utilities shall conform with the requirements of all applicable laws and ordinances.  The Developer </w:t>
      </w:r>
      <w:r>
        <w:t xml:space="preserve">or BID as applicable </w:t>
      </w:r>
      <w:r w:rsidRPr="0034214E">
        <w:t xml:space="preserve">shall also be responsible for the relocation, design and construction of all new public streets, utilities, sidewalks, alleys, </w:t>
      </w:r>
      <w:r>
        <w:t xml:space="preserve">changes for handicap accessibility and accommodation including, without limitation, parking facilities, costs incurred in connection with Taxing Entity Agreements, excavation for and design and construction of parking facilities, </w:t>
      </w:r>
      <w:r w:rsidRPr="0034214E">
        <w:t xml:space="preserve">landscaping and street lighting within the public right-of-way shown in the Concept Plan, as it may be refined and updated.  The Developer </w:t>
      </w:r>
      <w:r>
        <w:t xml:space="preserve">or the BID as applicable </w:t>
      </w:r>
      <w:r w:rsidRPr="0034214E">
        <w:t>shall be responsible for the design, construction and cost, if any, of utility and service lines necessary for the construction of the Public Improvements within the Property, tap connection fees and other City requirements, including the cost of extending such utility lines from the Public Improvements to the mains in the public right-of-way.</w:t>
      </w:r>
      <w:r w:rsidRPr="0034214E">
        <w:rPr>
          <w:b/>
        </w:rPr>
        <w:t xml:space="preserve">  </w:t>
      </w:r>
      <w:r w:rsidRPr="0034214E">
        <w:t xml:space="preserve">The Developer </w:t>
      </w:r>
      <w:r>
        <w:t xml:space="preserve">or the BID as applicable </w:t>
      </w:r>
      <w:r w:rsidRPr="0034214E">
        <w:t xml:space="preserve">shall be responsible for construction of improvements to existing facilities or improvements and construction of new facilities or improvements on locations outside the boundaries of the Property as may be required by agreement between the Developer </w:t>
      </w:r>
      <w:r w:rsidR="00F15320">
        <w:t xml:space="preserve">or BID as applicable </w:t>
      </w:r>
      <w:r w:rsidRPr="0034214E">
        <w:t>and applicable governmental authorities.</w:t>
      </w:r>
    </w:p>
    <w:p w14:paraId="1FA25E07" w14:textId="77777777" w:rsidR="0086452B" w:rsidRPr="0034214E" w:rsidRDefault="0086452B" w:rsidP="0086452B">
      <w:pPr>
        <w:pStyle w:val="Heading2"/>
      </w:pPr>
      <w:r w:rsidRPr="0034214E">
        <w:rPr>
          <w:u w:val="single"/>
        </w:rPr>
        <w:t>Replat and Dedications</w:t>
      </w:r>
      <w:r w:rsidRPr="0034214E">
        <w:t xml:space="preserve">.  The Authority is not requiring the Developer to replat or </w:t>
      </w:r>
      <w:proofErr w:type="spellStart"/>
      <w:r w:rsidRPr="0034214E">
        <w:t>resubdivide</w:t>
      </w:r>
      <w:proofErr w:type="spellEnd"/>
      <w:r w:rsidRPr="0034214E">
        <w:t xml:space="preserve"> the Property, but the Developer agrees to comply with all applicable City codes, ordinances and planning requirements with regard to development of the Property and construction of the Public Improvements, including if required by the City, to replat or </w:t>
      </w:r>
      <w:proofErr w:type="spellStart"/>
      <w:r w:rsidRPr="0034214E">
        <w:t>resubdivide</w:t>
      </w:r>
      <w:proofErr w:type="spellEnd"/>
      <w:r w:rsidRPr="0034214E">
        <w:t xml:space="preserve"> part of the Property.  The Developer </w:t>
      </w:r>
      <w:r>
        <w:t xml:space="preserve">or BID </w:t>
      </w:r>
      <w:r w:rsidRPr="0034214E">
        <w:t>shall dedicate, as appropriate, such utility and drainage easements required to properly carry out and maintain the Public Improvements.</w:t>
      </w:r>
    </w:p>
    <w:p w14:paraId="32FDFA66" w14:textId="1E2E3BEA" w:rsidR="0086452B" w:rsidRDefault="0086452B" w:rsidP="0086452B">
      <w:pPr>
        <w:pStyle w:val="Heading2"/>
      </w:pPr>
      <w:r w:rsidRPr="002576C1">
        <w:rPr>
          <w:u w:val="single"/>
        </w:rPr>
        <w:t>Antidiscrimination</w:t>
      </w:r>
      <w:r w:rsidRPr="0034214E">
        <w:t>.  The Developer</w:t>
      </w:r>
      <w:r w:rsidR="00F15320">
        <w:t xml:space="preserve"> or BID as applicable</w:t>
      </w:r>
      <w:r w:rsidRPr="0034214E">
        <w:t>, for itself and its successors and assigns, agrees that in the construction of an</w:t>
      </w:r>
      <w:r>
        <w:t>d</w:t>
      </w:r>
      <w:r w:rsidRPr="0034214E">
        <w:t xml:space="preserve"> in the use and occupancy of the Property, </w:t>
      </w:r>
      <w:r w:rsidR="00F15320">
        <w:t>it</w:t>
      </w:r>
      <w:r w:rsidRPr="0034214E">
        <w:t xml:space="preserve"> will not discriminate against any employee or applicant for employment because of race, color, creed, gender, religion, sexual orientation, disability, marital status, ancestry or national origin.</w:t>
      </w:r>
    </w:p>
    <w:p w14:paraId="547BFC50" w14:textId="77777777" w:rsidR="0086452B" w:rsidRDefault="0086452B" w:rsidP="0086452B">
      <w:pPr>
        <w:pStyle w:val="Heading2"/>
      </w:pPr>
      <w:r w:rsidRPr="002576C1">
        <w:rPr>
          <w:u w:val="single"/>
        </w:rPr>
        <w:t>Signage</w:t>
      </w:r>
      <w:r w:rsidRPr="002576C1">
        <w:t>.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ninety (90) square inches acknowledging that the redevelopment was financed and constructed in cooperation with the Authority.  Developer shall have final authority over the ultimate design of any signage installed on the Property pursuant to this Agreement.</w:t>
      </w:r>
    </w:p>
    <w:p w14:paraId="338B5A10" w14:textId="77777777" w:rsidR="0086452B" w:rsidRPr="0034214E" w:rsidRDefault="0086452B" w:rsidP="0086452B">
      <w:pPr>
        <w:pStyle w:val="Heading2"/>
      </w:pPr>
      <w:r w:rsidRPr="002576C1">
        <w:rPr>
          <w:u w:val="single"/>
        </w:rPr>
        <w:lastRenderedPageBreak/>
        <w:t>Access to Property</w:t>
      </w:r>
      <w:r w:rsidRPr="0034214E">
        <w:t>.  At reasonable times</w:t>
      </w:r>
      <w:r>
        <w:t xml:space="preserve"> within business hours, and following notice and coordination, the Developer </w:t>
      </w:r>
      <w:r w:rsidRPr="0034214E">
        <w:t xml:space="preserve">shall permit representatives of the other to have access to the Property for the purpose </w:t>
      </w:r>
      <w:r>
        <w:t xml:space="preserve">inspecting the Property in order to determine compliance </w:t>
      </w:r>
      <w:r w:rsidRPr="0034214E">
        <w:t xml:space="preserve">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w:t>
      </w:r>
      <w:r>
        <w:t xml:space="preserve">The Authority </w:t>
      </w:r>
      <w:r w:rsidRPr="0034214E">
        <w:t xml:space="preserve">shall indemnify and hold harmless the </w:t>
      </w:r>
      <w:r>
        <w:t xml:space="preserve">Developer </w:t>
      </w:r>
      <w:r w:rsidRPr="0034214E">
        <w:t xml:space="preserve">for any loss or damage or claim for loss or damage (including reasonable legal fees) resulting from any such entrance, (but this indemnity shall not apply to conditions existing on such Property at the time of such entry, even where such condition was discovered by virtue of the entry). </w:t>
      </w:r>
    </w:p>
    <w:p w14:paraId="040AD8DB" w14:textId="77777777" w:rsidR="0086452B" w:rsidRPr="0034214E" w:rsidRDefault="0086452B" w:rsidP="0086452B">
      <w:pPr>
        <w:pStyle w:val="Heading1"/>
      </w:pPr>
      <w:r>
        <w:t>TAXING ENTITY AGREEMENTS</w:t>
      </w:r>
    </w:p>
    <w:p w14:paraId="2F2DF026" w14:textId="68016F9D" w:rsidR="0086452B" w:rsidRDefault="0086452B" w:rsidP="0086452B">
      <w:pPr>
        <w:pStyle w:val="Heading2"/>
      </w:pPr>
      <w:r w:rsidRPr="0034214E">
        <w:rPr>
          <w:u w:val="single"/>
        </w:rPr>
        <w:t>Cooperation Agreement</w:t>
      </w:r>
      <w:r w:rsidRPr="0034214E">
        <w:t xml:space="preserve">.  The Authority and the City </w:t>
      </w:r>
      <w:r>
        <w:t>have entered</w:t>
      </w:r>
      <w:r w:rsidRPr="0034214E">
        <w:t xml:space="preserve"> into</w:t>
      </w:r>
      <w:r>
        <w:t xml:space="preserve"> the </w:t>
      </w:r>
      <w:r w:rsidRPr="0034214E">
        <w:t xml:space="preserve">Cooperation Agreement.  </w:t>
      </w:r>
      <w:r w:rsidRPr="00EF629C">
        <w:t>The Cooperation Agreement provides for, among other things, allocation by the City of</w:t>
      </w:r>
      <w:r>
        <w:t xml:space="preserve"> (</w:t>
      </w:r>
      <w:proofErr w:type="spellStart"/>
      <w:r>
        <w:t>i</w:t>
      </w:r>
      <w:proofErr w:type="spellEnd"/>
      <w:r>
        <w:t>)</w:t>
      </w:r>
      <w:r w:rsidRPr="00EF629C">
        <w:t xml:space="preserve"> </w:t>
      </w:r>
      <w:r>
        <w:t xml:space="preserve">87.5% of </w:t>
      </w:r>
      <w:r w:rsidRPr="00EF629C">
        <w:t xml:space="preserve">the </w:t>
      </w:r>
      <w:r>
        <w:t xml:space="preserve">City </w:t>
      </w:r>
      <w:r w:rsidRPr="00EF629C">
        <w:t>Sales Tax TIF</w:t>
      </w:r>
      <w:r>
        <w:t xml:space="preserve"> (i.e., 1.75%)</w:t>
      </w:r>
      <w:r w:rsidRPr="00EF629C">
        <w:t xml:space="preserve"> </w:t>
      </w:r>
      <w:r w:rsidRPr="0054580E">
        <w:t xml:space="preserve">collected on or within the Property </w:t>
      </w:r>
      <w:r>
        <w:t xml:space="preserve">and (ii) 50% of the City Use Tax TIF (i.e. 1.00%) </w:t>
      </w:r>
      <w:r w:rsidRPr="0054580E">
        <w:t xml:space="preserve">paid solely on construction materials used within the Area </w:t>
      </w:r>
      <w:r w:rsidRPr="00EF629C">
        <w:t xml:space="preserve">to the Authority for the </w:t>
      </w:r>
      <w:r>
        <w:t>Duration</w:t>
      </w:r>
      <w:r w:rsidRPr="00EF629C">
        <w:t xml:space="preserve">.  </w:t>
      </w:r>
      <w:r w:rsidRPr="0034214E">
        <w:t xml:space="preserve">In the interest of providing part of the financing of the redevelopment of the </w:t>
      </w:r>
      <w:r>
        <w:t xml:space="preserve">Area </w:t>
      </w:r>
      <w:r w:rsidRPr="0034214E">
        <w:t>and accomplishing the goals of the Urban Renewal Plan and this Agreement, the Authority</w:t>
      </w:r>
      <w:r w:rsidR="00F15320">
        <w:t>,</w:t>
      </w:r>
      <w:r w:rsidRPr="0034214E">
        <w:t xml:space="preserve"> the Developer </w:t>
      </w:r>
      <w:r w:rsidR="00F15320">
        <w:t xml:space="preserve">and the BID </w:t>
      </w:r>
      <w:r w:rsidRPr="0034214E">
        <w:t>agree to work with the City and dedicate such time and resources as may be required to implement this agreement to facilitate the timely planning and development of the Improvements.</w:t>
      </w:r>
      <w:r>
        <w:t xml:space="preserve">  </w:t>
      </w:r>
      <w:r w:rsidRPr="009F61C8">
        <w:t xml:space="preserve">The primary purpose of the Cooperation Agreement is to pledge to distribute to or on behalf of the Developer, sufficient City Sales Tax TIF </w:t>
      </w:r>
      <w:r>
        <w:t xml:space="preserve">and City Use Tax TIF </w:t>
      </w:r>
      <w:r w:rsidR="00F15320">
        <w:t xml:space="preserve">in order </w:t>
      </w:r>
      <w:r w:rsidRPr="009F61C8">
        <w:t>to meet</w:t>
      </w:r>
      <w:r w:rsidR="00F15320">
        <w:t xml:space="preserve"> a portion of</w:t>
      </w:r>
      <w:r w:rsidRPr="009F61C8">
        <w:t xml:space="preserve"> the requirements of the </w:t>
      </w:r>
      <w:r w:rsidR="00F15320" w:rsidRPr="005A3C26">
        <w:t>BID Bonds</w:t>
      </w:r>
      <w:r w:rsidRPr="009F61C8">
        <w:t xml:space="preserve"> and such other reasonable and necessary terms reasonably acceptable to the Parties to carry out the Concept Plan</w:t>
      </w:r>
      <w:r w:rsidR="00F15320">
        <w:t xml:space="preserve"> and in furtherance of the Urban Renewal Plan</w:t>
      </w:r>
      <w:r w:rsidRPr="009F61C8">
        <w:t>.</w:t>
      </w:r>
      <w:r>
        <w:t xml:space="preserve">  Developer </w:t>
      </w:r>
      <w:r w:rsidR="00F15320">
        <w:t xml:space="preserve">and the BID </w:t>
      </w:r>
      <w:r>
        <w:t>acknowledge that the Cooperation Agreement includes certain limitations on the use of City Sales Tax TIF and City Use Tax TIF and agrees to comply with such limitations.</w:t>
      </w:r>
    </w:p>
    <w:p w14:paraId="1062AA30" w14:textId="77777777" w:rsidR="0086452B" w:rsidRDefault="0086452B" w:rsidP="0086452B">
      <w:pPr>
        <w:pStyle w:val="Heading2"/>
      </w:pPr>
      <w:r w:rsidRPr="00AD350E">
        <w:rPr>
          <w:u w:val="single"/>
        </w:rPr>
        <w:t>County Agreement</w:t>
      </w:r>
      <w:r>
        <w:t>.  The Authority and the County have entered into the County Agreement.  The County Agreement provides for, among other things, allocation by the County of 100% of the County Sales Tax TIF (i.e., 1.00%) for the Duration.  The County Sales Tax TIF shall be included in TIF Revenue and Pledged Revenue when and as received by the Authority pursuant to the County Agreement.</w:t>
      </w:r>
    </w:p>
    <w:p w14:paraId="3427B8BF" w14:textId="24B24665" w:rsidR="0086452B" w:rsidRPr="00CB744C" w:rsidRDefault="0086452B" w:rsidP="0086452B">
      <w:pPr>
        <w:pStyle w:val="Heading2"/>
      </w:pPr>
      <w:r>
        <w:rPr>
          <w:u w:val="single"/>
        </w:rPr>
        <w:t>Taxing Entity Agreements</w:t>
      </w:r>
      <w:r w:rsidRPr="00CB744C">
        <w:rPr>
          <w:szCs w:val="20"/>
        </w:rPr>
        <w:t>.</w:t>
      </w:r>
      <w:r>
        <w:t xml:space="preserve">  The Authority has entered into the Taxing Entity Agreements with each of the Taxing Entities pursuant to C.R.S. § 31-25-107(9.5).  Pursuant to the Taxing Entity Agreements, each of the Taxing Entities has agreed to allocate some or </w:t>
      </w:r>
      <w:proofErr w:type="gramStart"/>
      <w:r>
        <w:t>all of</w:t>
      </w:r>
      <w:proofErr w:type="gramEnd"/>
      <w:r>
        <w:t xml:space="preserve"> its portion of the Property Tax TIF to the Authority pursuant to the Urban Renewal Plan in support of </w:t>
      </w:r>
      <w:r w:rsidR="001B5D2D">
        <w:t>the</w:t>
      </w:r>
      <w:r>
        <w:t xml:space="preserve"> </w:t>
      </w:r>
      <w:r w:rsidR="001B5D2D">
        <w:t>P</w:t>
      </w:r>
      <w:r>
        <w:t xml:space="preserve">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t>Pledged Revenues</w:t>
      </w:r>
      <w:r w:rsidRPr="00913BCD">
        <w:t xml:space="preserve">, required to be made to Taxing </w:t>
      </w:r>
      <w:r>
        <w:t>Entities</w:t>
      </w:r>
      <w:r w:rsidRPr="00913BCD">
        <w:t xml:space="preserve"> pursuant to the Taxing </w:t>
      </w:r>
      <w:r>
        <w:t>Entity</w:t>
      </w:r>
      <w:r w:rsidRPr="00913BCD">
        <w:t xml:space="preserve"> Agreements. </w:t>
      </w:r>
      <w:r>
        <w:t xml:space="preserve"> </w:t>
      </w:r>
      <w:r w:rsidR="00F15320">
        <w:t xml:space="preserve">Each of the </w:t>
      </w:r>
      <w:r>
        <w:t>Developer</w:t>
      </w:r>
      <w:r w:rsidR="00F15320">
        <w:t xml:space="preserve"> and the BID</w:t>
      </w:r>
      <w:r>
        <w:t xml:space="preserve"> has reviewed each of the Taxing Entity Agreements and agrees that it will not knowingly take</w:t>
      </w:r>
      <w:r w:rsidR="00F15320">
        <w:t xml:space="preserve"> any</w:t>
      </w:r>
      <w:r>
        <w:t xml:space="preserve"> action that would be inconsistent with any of the Taxing Entity Agreements or would cause the Authority to be in breach of any of the Taxing Entity Agreements.    </w:t>
      </w:r>
    </w:p>
    <w:p w14:paraId="72E751E6" w14:textId="52F0CC8F" w:rsidR="0086452B" w:rsidRDefault="0086452B" w:rsidP="0086452B">
      <w:pPr>
        <w:pStyle w:val="Heading2"/>
      </w:pPr>
      <w:r w:rsidRPr="00A37C81">
        <w:rPr>
          <w:u w:val="single"/>
        </w:rPr>
        <w:lastRenderedPageBreak/>
        <w:t>CSDDA Agreement</w:t>
      </w:r>
      <w:r w:rsidRPr="0034214E">
        <w:t xml:space="preserve">.  </w:t>
      </w:r>
      <w:r>
        <w:t xml:space="preserve">Developer </w:t>
      </w:r>
      <w:r w:rsidR="001B5D2D">
        <w:t xml:space="preserve">and the BID </w:t>
      </w:r>
      <w:r>
        <w:t>acknowledge that the Taxing Entity Agreement between the Authority and the CSDDA requires, among other things, t</w:t>
      </w:r>
      <w:r w:rsidRPr="00F64F9B">
        <w:t xml:space="preserve">he incremental revenues retained by </w:t>
      </w:r>
      <w:r>
        <w:t>the Authority</w:t>
      </w:r>
      <w:r w:rsidRPr="00F64F9B">
        <w:t xml:space="preserve"> </w:t>
      </w:r>
      <w:r>
        <w:t xml:space="preserve">thereunder to </w:t>
      </w:r>
      <w:r w:rsidRPr="00F64F9B">
        <w:t xml:space="preserve">be used to construct Public Improvements on streetscapes to </w:t>
      </w:r>
      <w:proofErr w:type="spellStart"/>
      <w:r w:rsidRPr="00F64F9B">
        <w:t>Vermijo</w:t>
      </w:r>
      <w:proofErr w:type="spellEnd"/>
      <w:r w:rsidRPr="00F64F9B">
        <w:t xml:space="preserve"> Street and Sierra Madre Street northward from </w:t>
      </w:r>
      <w:proofErr w:type="spellStart"/>
      <w:r w:rsidRPr="00F64F9B">
        <w:t>Cucharras</w:t>
      </w:r>
      <w:proofErr w:type="spellEnd"/>
      <w:r w:rsidRPr="00F64F9B">
        <w:t xml:space="preserve"> Street (the “</w:t>
      </w:r>
      <w:proofErr w:type="spellStart"/>
      <w:r w:rsidRPr="00F64F9B">
        <w:t>Vermijo</w:t>
      </w:r>
      <w:proofErr w:type="spellEnd"/>
      <w:r w:rsidRPr="00F64F9B">
        <w:t xml:space="preserve"> and Sierra Madre Improvements”) that are outside the boundaries of the </w:t>
      </w:r>
      <w:r>
        <w:t>Area</w:t>
      </w:r>
      <w:r w:rsidRPr="00F64F9B">
        <w:t xml:space="preserve">, but which are within the boundaries of the CSDDA, with any remainder retained for other Public Improvements within the Area.  CSDDA </w:t>
      </w:r>
      <w:r>
        <w:t>has</w:t>
      </w:r>
      <w:r w:rsidRPr="00F64F9B">
        <w:t xml:space="preserve"> the right to review and comment on streetscape design and implementation and approve eligible improvements.  If the </w:t>
      </w:r>
      <w:proofErr w:type="spellStart"/>
      <w:r w:rsidRPr="00F64F9B">
        <w:t>Vermijo</w:t>
      </w:r>
      <w:proofErr w:type="spellEnd"/>
      <w:r w:rsidRPr="00F64F9B">
        <w:t xml:space="preserve"> and Sierra Madre Improvements are not constructed, </w:t>
      </w:r>
      <w:r>
        <w:t>the Authority is obligated to</w:t>
      </w:r>
      <w:r w:rsidRPr="00F64F9B">
        <w:t xml:space="preserve"> reimburse CSDDA for the incremental revenues derived from the 3 mill levies initially retained by </w:t>
      </w:r>
      <w:r>
        <w:t>the Authority</w:t>
      </w:r>
      <w:r w:rsidRPr="00F64F9B">
        <w:t xml:space="preserve">.  </w:t>
      </w:r>
      <w:r>
        <w:t xml:space="preserve">Developer </w:t>
      </w:r>
      <w:r w:rsidR="001B5D2D">
        <w:t xml:space="preserve">and the BID </w:t>
      </w:r>
      <w:r>
        <w:t xml:space="preserve">hereby agree, in cooperation with CSDDA, to incorporate the </w:t>
      </w:r>
      <w:proofErr w:type="spellStart"/>
      <w:r>
        <w:t>Vermijo</w:t>
      </w:r>
      <w:proofErr w:type="spellEnd"/>
      <w:r>
        <w:t xml:space="preserve"> and Sierra Madre Improvements into the Concept Plan and Developer or the BID as appropriate will use commercially reasonable efforts to timely construct such improvements in satisfaction of the obligations under the Taxing Entity Agreement with the CSDDA.</w:t>
      </w:r>
    </w:p>
    <w:p w14:paraId="2F3DCE94" w14:textId="77777777" w:rsidR="0086452B" w:rsidRPr="0034214E" w:rsidRDefault="0086452B" w:rsidP="0086452B">
      <w:pPr>
        <w:pStyle w:val="Heading1"/>
      </w:pPr>
      <w:r w:rsidRPr="0034214E">
        <w:t>PROJECT FINANCING</w:t>
      </w:r>
    </w:p>
    <w:p w14:paraId="14A6D36E" w14:textId="4B3E1A14" w:rsidR="0086452B" w:rsidRDefault="0086452B" w:rsidP="0086452B">
      <w:pPr>
        <w:pStyle w:val="Heading2"/>
      </w:pPr>
      <w:r w:rsidRPr="0034214E">
        <w:rPr>
          <w:u w:val="single"/>
        </w:rPr>
        <w:t>Authority Financing</w:t>
      </w:r>
      <w:r w:rsidRPr="0034214E">
        <w:t xml:space="preserve">.  The sole financing provided by the Authority for the redevelopment of the Property shall be the reimbursement of actual Reimbursable Project Costs from the Pledged Revenues.  Reimbursable Project Costs are </w:t>
      </w:r>
      <w:r>
        <w:t>estimated</w:t>
      </w:r>
      <w:r w:rsidRPr="0034214E">
        <w:t xml:space="preserve"> on </w:t>
      </w:r>
      <w:r w:rsidRPr="00B725FE">
        <w:rPr>
          <w:u w:val="single"/>
        </w:rPr>
        <w:t>Exhibit B</w:t>
      </w:r>
      <w:r w:rsidRPr="0034214E">
        <w:t xml:space="preserve">.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w:t>
      </w:r>
      <w:r>
        <w:t xml:space="preserve">and the County Agreement </w:t>
      </w:r>
      <w:r w:rsidRPr="0034214E">
        <w:t xml:space="preserve">generated from taxable sales on or from the Property and Improvements thereon, if any, as calculated and allocated by the Authority to the Property and Improvements each year as part of the total municipal </w:t>
      </w:r>
      <w:r>
        <w:t xml:space="preserve">and county </w:t>
      </w:r>
      <w:r w:rsidRPr="0034214E">
        <w:t>sales tax increment revenue</w:t>
      </w:r>
      <w:r>
        <w:t xml:space="preserve">, </w:t>
      </w:r>
      <w:r w:rsidRPr="0034214E">
        <w:t>if any, received by the Authority from the entire Area described in the Urban Renewal Plan</w:t>
      </w:r>
      <w:r>
        <w:t xml:space="preserve">, </w:t>
      </w:r>
      <w:r w:rsidRPr="00085027">
        <w:t xml:space="preserve">as well as municipal use tax increment revenue paid solely on construction materials used within the Area, </w:t>
      </w:r>
      <w:r>
        <w:t>if any, received by the Authority, all</w:t>
      </w:r>
      <w:r w:rsidRPr="0034214E">
        <w:t xml:space="preserve"> in accordance with the Act</w:t>
      </w:r>
      <w:r>
        <w:t>,</w:t>
      </w:r>
      <w:r w:rsidRPr="0034214E">
        <w:t xml:space="preserve"> </w:t>
      </w:r>
      <w:r>
        <w:t>the</w:t>
      </w:r>
      <w:r w:rsidRPr="0034214E">
        <w:t xml:space="preserve"> Cooperation Agreement</w:t>
      </w:r>
      <w:r>
        <w:t xml:space="preserve"> and the County Agreement</w:t>
      </w:r>
      <w:r w:rsidRPr="0034214E">
        <w:t>.</w:t>
      </w:r>
    </w:p>
    <w:p w14:paraId="287B5EE3" w14:textId="193EFA60" w:rsidR="005D2ECA" w:rsidRDefault="005D2ECA" w:rsidP="00A9213B">
      <w:pPr>
        <w:pStyle w:val="Heading2"/>
      </w:pPr>
      <w:r w:rsidRPr="00A9213B">
        <w:rPr>
          <w:u w:val="single"/>
        </w:rPr>
        <w:t>BID Bonds</w:t>
      </w:r>
      <w:r w:rsidRPr="005D2ECA">
        <w:t xml:space="preserve">.  In furtherance of the foregoing, for the purpose of financing a portion of the </w:t>
      </w:r>
      <w:r>
        <w:t>Public</w:t>
      </w:r>
      <w:r w:rsidRPr="005D2ECA">
        <w:t xml:space="preserve"> Improvements (including paying amounts due under the </w:t>
      </w:r>
      <w:r w:rsidR="00A9213B">
        <w:t>District</w:t>
      </w:r>
      <w:r w:rsidRPr="005D2ECA">
        <w:t xml:space="preserve"> Reimbursement Agreement), the </w:t>
      </w:r>
      <w:r>
        <w:t>BID</w:t>
      </w:r>
      <w:r w:rsidRPr="005D2ECA">
        <w:t xml:space="preserve"> has agreed to issue its </w:t>
      </w:r>
      <w:r w:rsidR="00B05CAC">
        <w:t xml:space="preserve">Limited Tax Supported </w:t>
      </w:r>
      <w:r w:rsidR="00A9213B">
        <w:t xml:space="preserve">and </w:t>
      </w:r>
      <w:r w:rsidRPr="005D2ECA">
        <w:t>Special Revenue</w:t>
      </w:r>
      <w:r w:rsidR="00A9213B">
        <w:t xml:space="preserve"> Senior</w:t>
      </w:r>
      <w:r w:rsidRPr="005D2ECA">
        <w:t xml:space="preserve"> Bonds, Series 2020A (the “</w:t>
      </w:r>
      <w:r w:rsidR="00B05CAC">
        <w:t>BID</w:t>
      </w:r>
      <w:r w:rsidRPr="005D2ECA">
        <w:t xml:space="preserve"> Bonds”) pursuant to </w:t>
      </w:r>
      <w:r w:rsidR="00B05CAC">
        <w:t>a Trust Indenture</w:t>
      </w:r>
      <w:r w:rsidRPr="005D2ECA">
        <w:t xml:space="preserve"> to be dated on or about the date hereof (the “</w:t>
      </w:r>
      <w:r w:rsidR="00B05CAC">
        <w:t xml:space="preserve">Master </w:t>
      </w:r>
      <w:r w:rsidRPr="005D2ECA">
        <w:t xml:space="preserve">Indenture”) between the </w:t>
      </w:r>
      <w:r w:rsidR="00B05CAC">
        <w:t>BID</w:t>
      </w:r>
      <w:r w:rsidRPr="005D2ECA">
        <w:t xml:space="preserve"> and </w:t>
      </w:r>
      <w:r w:rsidR="00B05CAC">
        <w:t xml:space="preserve">UMB Bank, N.A., </w:t>
      </w:r>
      <w:r w:rsidRPr="005D2ECA">
        <w:t xml:space="preserve">as trustee (the “Trustee”), and </w:t>
      </w:r>
      <w:r w:rsidR="00B05CAC">
        <w:t xml:space="preserve">a Series 2020A Supplemental Trust Indenture </w:t>
      </w:r>
      <w:r w:rsidR="00B05CAC" w:rsidRPr="00B05CAC">
        <w:t>to be dated on or about the date hereof</w:t>
      </w:r>
      <w:r w:rsidR="00B05CAC">
        <w:t xml:space="preserve"> (the “Series 2020A Supplemental Indenture,” and together with the Master Indenture, the “Indentures”) by and between the BID and the Trustee</w:t>
      </w:r>
      <w:r w:rsidRPr="005D2ECA">
        <w:t xml:space="preserve">.  In connection with the </w:t>
      </w:r>
      <w:r w:rsidR="00A9213B">
        <w:t>BID</w:t>
      </w:r>
      <w:r w:rsidRPr="005D2ECA">
        <w:t xml:space="preserve"> Bonds, the </w:t>
      </w:r>
      <w:r w:rsidR="00A9213B">
        <w:t>BID</w:t>
      </w:r>
      <w:r w:rsidRPr="005D2ECA">
        <w:t xml:space="preserve"> has pledged the Pledged Revenues for payment of the </w:t>
      </w:r>
      <w:r w:rsidR="00A9213B">
        <w:t>BID</w:t>
      </w:r>
      <w:r w:rsidRPr="005D2ECA">
        <w:t xml:space="preserve"> Bonds.  Developer and the District hereby agree to comply with all obligations of the Developer and the District, as applicable, in the Bond Documents and otherwise reasonably cooperate with the Authority as necessary and appropriate to allow the Authority to comply with its obligations under the Bond Documents</w:t>
      </w:r>
      <w:r w:rsidR="00A9213B">
        <w:t>, as applicable</w:t>
      </w:r>
      <w:r w:rsidRPr="005D2ECA">
        <w:t xml:space="preserve">.  </w:t>
      </w:r>
    </w:p>
    <w:p w14:paraId="31C35E68" w14:textId="5402B22F" w:rsidR="00A9213B" w:rsidRPr="00A9213B" w:rsidRDefault="00A9213B" w:rsidP="00A9213B">
      <w:pPr>
        <w:pStyle w:val="Heading2"/>
      </w:pPr>
      <w:r w:rsidRPr="00A9213B">
        <w:rPr>
          <w:u w:val="single"/>
        </w:rPr>
        <w:lastRenderedPageBreak/>
        <w:t>Payment Requests</w:t>
      </w:r>
      <w:r w:rsidRPr="00A9213B">
        <w:t xml:space="preserve">.  The Developer or the BID shall provide the Authority with evidence of its expenditure of bond proceeds supported by Pledged Revenues on Reimbursable Project Costs.  Such evidence shall include a certification by an engineering professional agreed to by the Parties that all Reimbursable Project Costs were actually incurred and not previously reimbursed to the Developer or the BID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from the Developer and/or the BID to include lien releases from contractors completing the work and included on the payment request.  </w:t>
      </w:r>
      <w:r>
        <w:t xml:space="preserve">For so long as the BID Bonds are outstanding, </w:t>
      </w:r>
      <w:r w:rsidRPr="00A9213B">
        <w:t xml:space="preserve">the Parties agree that reasonable documentation and certification requirements acceptable to the Authority that satisfy the requirements of the BID and </w:t>
      </w:r>
      <w:r>
        <w:t xml:space="preserve"> the </w:t>
      </w:r>
      <w:r w:rsidRPr="00A9213B">
        <w:t>Bond Documents will be substituted for the requirements of this Section</w:t>
      </w:r>
      <w:r>
        <w:t xml:space="preserve">, provided that the Parties </w:t>
      </w:r>
      <w:r w:rsidR="000E40AC">
        <w:t>agree to jointly engage an engineering professional to provide the certifications described above on a continuing basis</w:t>
      </w:r>
      <w:r w:rsidRPr="00A9213B">
        <w:t>.  In such event, prior to disbursement of bond proceeds, the BID agrees to provide the documentation and certifications that satisfy the requirements of the Trustee, the Authority, the BID and the Bond Documents.  The Authority agrees to promptly review and approve such payment requests that comply with the requirements of this Section 7.</w:t>
      </w:r>
      <w:r>
        <w:t>3</w:t>
      </w:r>
      <w:r w:rsidRPr="00A9213B">
        <w:t xml:space="preserve">.  </w:t>
      </w:r>
    </w:p>
    <w:p w14:paraId="5F09F169" w14:textId="77777777" w:rsidR="0086452B" w:rsidRPr="0034214E" w:rsidRDefault="0086452B" w:rsidP="0086452B">
      <w:pPr>
        <w:pStyle w:val="Heading2"/>
      </w:pPr>
      <w:r w:rsidRPr="0034214E">
        <w:rPr>
          <w:u w:val="single"/>
        </w:rPr>
        <w:t>Appointment of Trustee or Escrow Agent</w:t>
      </w:r>
      <w:r w:rsidRPr="0034214E">
        <w:t>.  Authority may, from time to time, designate one or more trustees or escrow agents to act as its collection and disbursing agent for the Pledged Revenues.</w:t>
      </w:r>
    </w:p>
    <w:p w14:paraId="1B7F29CE" w14:textId="30822143" w:rsidR="0086452B" w:rsidRPr="0034214E" w:rsidRDefault="0086452B" w:rsidP="0086452B">
      <w:pPr>
        <w:pStyle w:val="Heading2"/>
      </w:pPr>
      <w:r w:rsidRPr="0034214E">
        <w:rPr>
          <w:u w:val="single"/>
        </w:rPr>
        <w:t>Authority’s Reimbursement Obligation</w:t>
      </w:r>
      <w:r w:rsidRPr="0034214E">
        <w:t xml:space="preserve">.  The Authority’s payment obligation </w:t>
      </w:r>
      <w:r>
        <w:t xml:space="preserve">to the Developer </w:t>
      </w:r>
      <w:r w:rsidR="003A6F42">
        <w:t xml:space="preserve">or the BID, as applicable, </w:t>
      </w:r>
      <w:r w:rsidRPr="0034214E">
        <w:t xml:space="preserve">under this </w:t>
      </w:r>
      <w:r>
        <w:t xml:space="preserve">Agreement </w:t>
      </w:r>
      <w:r w:rsidRPr="0034214E">
        <w:t xml:space="preserve">shall be limited to the </w:t>
      </w:r>
      <w:r>
        <w:t xml:space="preserve">aggregate </w:t>
      </w:r>
      <w:r w:rsidRPr="0034214E">
        <w:t>amount of Pledged Revenues actually received and legally available for such purpose (the “Authority’s Reimbursement Obligation”)</w:t>
      </w:r>
      <w:r>
        <w:t>, which Pledged Revenues the Authority shall take all commercially reasonable steps to calculate, review, and collect each year, including enforcement of available remedies in connection therewith as described in this Section 7.</w:t>
      </w:r>
      <w:r w:rsidR="000110FC">
        <w:t>5</w:t>
      </w:r>
      <w:r w:rsidRPr="0034214E">
        <w:t>.  I</w:t>
      </w:r>
      <w:r>
        <w:t xml:space="preserve">f, after exhaustion of such remedies, </w:t>
      </w:r>
      <w:r w:rsidRPr="0034214E">
        <w:t>there are insufficient Pledged Revenues to pay the Authority’s Reimbursement Obligation in any one year, those certified, approved but unpaid Reimbursable Project Costs shall accrue and payment shall be made to the Developer</w:t>
      </w:r>
      <w:r w:rsidR="00270927">
        <w:t xml:space="preserve"> or the BID, as applicable,</w:t>
      </w:r>
      <w:r w:rsidRPr="0034214E">
        <w:t xml:space="preserve"> when </w:t>
      </w:r>
      <w:r>
        <w:t xml:space="preserve">and as </w:t>
      </w:r>
      <w:r w:rsidRPr="0034214E">
        <w:t>such Pledged Revenue</w:t>
      </w:r>
      <w:r>
        <w:t>s</w:t>
      </w:r>
      <w:r w:rsidRPr="0034214E">
        <w:t xml:space="preserve"> </w:t>
      </w:r>
      <w:r>
        <w:t>are</w:t>
      </w:r>
      <w:r w:rsidRPr="0034214E">
        <w:t xml:space="preserve"> available to pay such unpaid Reimbursable Project Costs.  </w:t>
      </w:r>
      <w:r w:rsidR="002A51AD">
        <w:t xml:space="preserve">If </w:t>
      </w:r>
      <w:proofErr w:type="gramStart"/>
      <w:r w:rsidR="002A51AD">
        <w:t>so</w:t>
      </w:r>
      <w:proofErr w:type="gramEnd"/>
      <w:r w:rsidR="002A51AD">
        <w:t xml:space="preserve"> directed in writing pursuant to the Bond Documents, the Authority shall make payment of the Authority Reimbursement Obligation directly to the Trustee, and such direction shall supersede the other payment provisions of this </w:t>
      </w:r>
      <w:r w:rsidR="000E40AC">
        <w:t>Agreement</w:t>
      </w:r>
      <w:r w:rsidR="002A51AD">
        <w:t xml:space="preserve">.  </w:t>
      </w:r>
      <w:r w:rsidRPr="0034214E">
        <w:t xml:space="preserve">Nothing in this Agreement shall be construed to require the Authority to make any payments to the Developer </w:t>
      </w:r>
      <w:r w:rsidR="003A6F42">
        <w:t xml:space="preserve">or the BID </w:t>
      </w:r>
      <w:r w:rsidRPr="0034214E">
        <w:t xml:space="preserve">on a periodic and aggregate basis, in excess of such amount, or, in the aggregate, in excess of the Pledged Revenues described in this Agreement.  </w:t>
      </w:r>
      <w:r>
        <w:t>Th</w:t>
      </w:r>
      <w:r w:rsidRPr="0034214E">
        <w:t>e Authority’s Reimbursement Obligation hereunder shall terminate on the first to occur of (a) payment in full of the Authority’s Reimbursement Obligation or (b) the right of the Developer</w:t>
      </w:r>
      <w:r>
        <w:t xml:space="preserve"> or BID</w:t>
      </w:r>
      <w:r w:rsidRPr="0034214E">
        <w:t xml:space="preserve"> to receive the Pledged Revenues under the Act or any revenues legally available as a payment obligation in lieu of or as replacement of such Pledged Revenues.  The Developer </w:t>
      </w:r>
      <w:r>
        <w:t xml:space="preserve">and the BID </w:t>
      </w:r>
      <w:r w:rsidRPr="0034214E">
        <w:t xml:space="preserve">acknowledge that the generation of Pledged Revenues is totally dependent upon the production and collection of Pledged Revenues from the </w:t>
      </w:r>
      <w:r>
        <w:t xml:space="preserve">Area </w:t>
      </w:r>
      <w:r w:rsidRPr="0034214E">
        <w:t>in accordance with the Act, and agrees that the Authority is in no way responsible for the amount of Pledged Revenues actually generated; provided, however, the Authority shall be responsible for monitoring and working with the City</w:t>
      </w:r>
      <w:r>
        <w:t>, the County</w:t>
      </w:r>
      <w:r w:rsidRPr="0034214E">
        <w:t xml:space="preserve"> and the El Paso County Assessor to correct mistakes in calculating Pledged Revenues and payment of the Authority’s Reimbursement Obligation available each year and to </w:t>
      </w:r>
      <w:r w:rsidRPr="0034214E">
        <w:lastRenderedPageBreak/>
        <w:t xml:space="preserve">comply with reasonable requirements and covenants in connection with </w:t>
      </w:r>
      <w:r w:rsidR="003A6F42">
        <w:t>the</w:t>
      </w:r>
      <w:r w:rsidRPr="0034214E">
        <w:t xml:space="preserve"> </w:t>
      </w:r>
      <w:r>
        <w:t>BID</w:t>
      </w:r>
      <w:r w:rsidRPr="0034214E">
        <w:t xml:space="preserve"> Bonds.  The Parties acknowledge that the right to amend or modify the </w:t>
      </w:r>
      <w:r>
        <w:t xml:space="preserve">Urban Renewal </w:t>
      </w:r>
      <w:r w:rsidRPr="0034214E">
        <w:t xml:space="preserve">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w:t>
      </w:r>
      <w:r>
        <w:t xml:space="preserve">Urban Renewal </w:t>
      </w:r>
      <w:r w:rsidRPr="0034214E">
        <w:t xml:space="preserve">Plan, as so amended or modified, to comply with the requirements of this Agreement, (b) result in an Event of Default by the Authority under this Agreement, or (c) adversely and materially affect the Pledged Revenues and the Authority’s Reimbursement Obligation. </w:t>
      </w:r>
      <w:r w:rsidR="00477472">
        <w:t xml:space="preserve"> </w:t>
      </w:r>
      <w:r w:rsidRPr="0034214E">
        <w:t>To the extent permitted by law, the Authority covenants and agrees to preserve and protect the Pledged Revenues and the rights of the Developer</w:t>
      </w:r>
      <w:r w:rsidR="00477472">
        <w:t xml:space="preserve"> and the BID</w:t>
      </w:r>
      <w:r w:rsidRPr="0034214E">
        <w:t xml:space="preserve">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w:t>
      </w:r>
      <w:r>
        <w:t>BID</w:t>
      </w:r>
      <w:r w:rsidRPr="0034214E">
        <w:t xml:space="preserve"> or any authorized bond trustee.  Subject to the foregoing</w:t>
      </w:r>
      <w:r w:rsidR="00DC69AC">
        <w:t>,</w:t>
      </w:r>
      <w:r w:rsidRPr="0034214E">
        <w:t xml:space="preserve"> the Developer</w:t>
      </w:r>
      <w:r w:rsidR="00477472">
        <w:t xml:space="preserve"> and the BID </w:t>
      </w:r>
      <w:r w:rsidRPr="0034214E">
        <w:t xml:space="preserve">therefore agree to assume the risk that insufficient Pledged Revenues will be generated to reimburse all Reimbursable Project Costs.  </w:t>
      </w:r>
    </w:p>
    <w:p w14:paraId="78738372" w14:textId="139B5ADB" w:rsidR="0086452B" w:rsidRPr="0034214E" w:rsidRDefault="0086452B" w:rsidP="0086452B">
      <w:pPr>
        <w:pStyle w:val="Heading2"/>
      </w:pPr>
      <w:r w:rsidRPr="0034214E">
        <w:rPr>
          <w:u w:val="single"/>
        </w:rPr>
        <w:t>Cooperation Regarding Financing</w:t>
      </w:r>
      <w:r w:rsidRPr="0034214E">
        <w:t xml:space="preserve">.  The Parties agree to cooperate with one another in obtaining </w:t>
      </w:r>
      <w:r>
        <w:t xml:space="preserve">financing necessary to execute the Project </w:t>
      </w:r>
      <w:r w:rsidRPr="0034214E">
        <w:t xml:space="preserve">by providing one another with such information, certifications, assurances, opinions and by amending or modifying agreements, including this Agreement, as may be reasonably required in connection with such financing, provided, that </w:t>
      </w:r>
      <w:r w:rsidR="003A6F42">
        <w:t>no</w:t>
      </w:r>
      <w:r w:rsidRPr="0034214E">
        <w:t xml:space="preserve"> Party shall be required to make amendments or modifications that substantially or materially change the rights or obligations of the Parties under this Agreement.</w:t>
      </w:r>
    </w:p>
    <w:p w14:paraId="0286B4CA" w14:textId="417DEE21" w:rsidR="0086452B" w:rsidRPr="0034214E" w:rsidRDefault="0086452B" w:rsidP="0086452B">
      <w:pPr>
        <w:pStyle w:val="Heading2"/>
      </w:pPr>
      <w:r w:rsidRPr="0034214E">
        <w:rPr>
          <w:u w:val="single"/>
        </w:rPr>
        <w:t>Opinion</w:t>
      </w:r>
      <w:r w:rsidRPr="0034214E">
        <w:t xml:space="preserve">.  At the time of any issuance of </w:t>
      </w:r>
      <w:r w:rsidR="00D8639B">
        <w:t>the</w:t>
      </w:r>
      <w:r>
        <w:t xml:space="preserve"> BID</w:t>
      </w:r>
      <w:r w:rsidRPr="0034214E">
        <w:t xml:space="preserve"> Bonds, the Authority shall deliver an opinion of counsel addressed to the </w:t>
      </w:r>
      <w:r>
        <w:t>BID</w:t>
      </w:r>
      <w:r w:rsidRPr="0034214E">
        <w:t>, which opinion shall state in substance that this Agreement has 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14:paraId="04D24CFA" w14:textId="1E9A80D6" w:rsidR="0086452B" w:rsidRPr="0034214E" w:rsidRDefault="0086452B" w:rsidP="0086452B">
      <w:pPr>
        <w:pStyle w:val="Heading2"/>
      </w:pPr>
      <w:r w:rsidRPr="0034214E">
        <w:rPr>
          <w:u w:val="single"/>
        </w:rPr>
        <w:t>Special Fund; Developer’s Account.</w:t>
      </w:r>
      <w:r w:rsidRPr="0034214E">
        <w:t xml:space="preserve">  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rsidR="00477472">
        <w:t>, the</w:t>
      </w:r>
      <w:r w:rsidRPr="0034214E">
        <w:t xml:space="preserve"> Cooperation Agreement</w:t>
      </w:r>
      <w:r w:rsidR="00477472">
        <w:t xml:space="preserve"> and the Taxing Entity Agreements</w:t>
      </w:r>
      <w:r w:rsidRPr="0034214E">
        <w:t>, including the Pledged Revenue</w:t>
      </w:r>
      <w:r>
        <w:t>s</w:t>
      </w:r>
      <w:r w:rsidRPr="0034214E">
        <w:t>, into the special fund as provided in the Act</w:t>
      </w:r>
      <w:r>
        <w:t xml:space="preserve"> (the “Special Fund”)</w:t>
      </w:r>
      <w:r w:rsidRPr="0034214E">
        <w:t xml:space="preserve">.  In addition, the Authority shall establish an account (the “Developer’s Account”) and shall segregate and pay into the Developer’s Account </w:t>
      </w:r>
      <w:proofErr w:type="gramStart"/>
      <w:r w:rsidRPr="0034214E">
        <w:t>all of</w:t>
      </w:r>
      <w:proofErr w:type="gramEnd"/>
      <w:r w:rsidRPr="0034214E">
        <w:t xml:space="preserve"> the Pledged Revenues described in this Agreement, when and as received by the Authority.  The Developer’s Account shall be applied to payments in accordance with this Agreement, the Cooperation Agreement</w:t>
      </w:r>
      <w:r>
        <w:t xml:space="preserve"> and the other Taxing Entity Agreements</w:t>
      </w:r>
      <w:r w:rsidRPr="0034214E">
        <w:t>, and shall be used for no other purpose.  Unless the Parties otherwise agree in writing</w:t>
      </w:r>
      <w:r w:rsidR="00270927">
        <w:t xml:space="preserve"> or as otherwise directed pursuant to Section 7.</w:t>
      </w:r>
      <w:r w:rsidR="000110FC">
        <w:t>9</w:t>
      </w:r>
      <w:r w:rsidRPr="0034214E">
        <w:t>, all Pledged Revenues in the Developer’s Account shall be paid to the Developer</w:t>
      </w:r>
      <w:r>
        <w:t xml:space="preserve"> or BID</w:t>
      </w:r>
      <w:r w:rsidRPr="0034214E">
        <w:t xml:space="preserve"> on or before the </w:t>
      </w:r>
      <w:r>
        <w:t>last day</w:t>
      </w:r>
      <w:r w:rsidRPr="0034214E">
        <w:t xml:space="preserve"> of each month up to the full amount of any and </w:t>
      </w:r>
      <w:r w:rsidRPr="0034214E">
        <w:lastRenderedPageBreak/>
        <w:t>all amounts due and owing on any payment requests certified and approved in accordance with Section 7.</w:t>
      </w:r>
      <w:r w:rsidR="000110FC">
        <w:t>3</w:t>
      </w:r>
      <w:r w:rsidRPr="0034214E">
        <w:t xml:space="preserve">.     </w:t>
      </w:r>
    </w:p>
    <w:p w14:paraId="12DFD104" w14:textId="51C2F4B2" w:rsidR="0086452B" w:rsidRPr="0034214E" w:rsidRDefault="0086452B" w:rsidP="0086452B">
      <w:pPr>
        <w:pStyle w:val="Heading2"/>
      </w:pPr>
      <w:r w:rsidRPr="0034214E">
        <w:rPr>
          <w:u w:val="single"/>
        </w:rPr>
        <w:t>Pledge of TIF Revenue</w:t>
      </w:r>
      <w:r w:rsidRPr="0034214E">
        <w:t>.  The Authority hereby irrevocably pledges the Pledged Revenues to payment of the Authority’s Reimbursement Obligation.  The Pledged Revenues, when and as received by the Authority shall be subject to the lien of such pledge without any physical delivery, filing, or further act.  The Authority shall transfer the amounts in the Developer’s Account as specified in Section 7.</w:t>
      </w:r>
      <w:r w:rsidR="000110FC">
        <w:t>8</w:t>
      </w:r>
      <w:r w:rsidRPr="0034214E">
        <w:t xml:space="preserve"> or</w:t>
      </w:r>
      <w:r w:rsidR="00270927">
        <w:t xml:space="preserve"> to the Trustee if </w:t>
      </w:r>
      <w:proofErr w:type="gramStart"/>
      <w:r w:rsidR="00270927">
        <w:t>so</w:t>
      </w:r>
      <w:proofErr w:type="gramEnd"/>
      <w:r w:rsidR="00270927">
        <w:t xml:space="preserve"> directed in writing pursuant to</w:t>
      </w:r>
      <w:r w:rsidRPr="0034214E">
        <w:t xml:space="preserve"> </w:t>
      </w:r>
      <w:r w:rsidR="00D8639B">
        <w:t>the</w:t>
      </w:r>
      <w:r w:rsidRPr="0034214E">
        <w:t xml:space="preserve"> </w:t>
      </w:r>
      <w:r w:rsidR="00DC69AC">
        <w:t>Bond Documents</w:t>
      </w:r>
      <w:r w:rsidRPr="0034214E">
        <w:t>.  The Authority shall keep, maintain, and apply the Pledged Revenues as required to payment of the Authority’s Reimbursement Obligation.  The Authority’s Reimbursement Obligation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p>
    <w:p w14:paraId="2F6247C8" w14:textId="25CA2DBA" w:rsidR="0086452B" w:rsidRPr="0034214E" w:rsidRDefault="0086452B" w:rsidP="0086452B">
      <w:pPr>
        <w:pStyle w:val="Heading2"/>
      </w:pPr>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and Bond </w:t>
      </w:r>
      <w:r w:rsidR="000110FC">
        <w:t>D</w:t>
      </w:r>
      <w:r w:rsidRPr="0034214E">
        <w:t xml:space="preserve">ocuments,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 xml:space="preserve">public accountant, and shall furnish a copy of such statement to the Developer (or </w:t>
      </w:r>
      <w:r>
        <w:t>BID</w:t>
      </w:r>
      <w:r w:rsidRPr="0034214E">
        <w:t xml:space="preserve"> as applicable) within 2</w:t>
      </w:r>
      <w:r>
        <w:t>7</w:t>
      </w:r>
      <w:r w:rsidRPr="0034214E">
        <w:t xml:space="preserve">0 days after the close of each fiscal year of the Authority or upon such earlier date as may be required by </w:t>
      </w:r>
      <w:r w:rsidR="000110FC">
        <w:t>the</w:t>
      </w:r>
      <w:r w:rsidRPr="0034214E">
        <w:t xml:space="preserve"> Bond </w:t>
      </w:r>
      <w:r w:rsidR="000110FC">
        <w:t>D</w:t>
      </w:r>
      <w:r w:rsidRPr="0034214E">
        <w:t>ocuments.</w:t>
      </w:r>
    </w:p>
    <w:p w14:paraId="68689D3B" w14:textId="13C66E10" w:rsidR="0086452B" w:rsidRPr="0034214E" w:rsidRDefault="0086452B" w:rsidP="0086452B">
      <w:pPr>
        <w:pStyle w:val="Heading2"/>
      </w:pPr>
      <w:r w:rsidRPr="0034214E">
        <w:rPr>
          <w:u w:val="single"/>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Public Improvements, the </w:t>
      </w:r>
      <w:r>
        <w:t>S</w:t>
      </w:r>
      <w:r w:rsidRPr="0034214E">
        <w:t xml:space="preserve">pecial </w:t>
      </w:r>
      <w:r>
        <w:t>F</w:t>
      </w:r>
      <w:r w:rsidRPr="0034214E">
        <w:t xml:space="preserve">und, and </w:t>
      </w:r>
      <w:r w:rsidR="000110FC">
        <w:t>the</w:t>
      </w:r>
      <w:r w:rsidRPr="0034214E">
        <w:t xml:space="preserve"> </w:t>
      </w:r>
      <w:r>
        <w:t>BID</w:t>
      </w:r>
      <w:r w:rsidRPr="0034214E">
        <w:t xml:space="preserve"> Bonds, including the books and accounts described in this Section 7.1</w:t>
      </w:r>
      <w:r w:rsidR="000110FC">
        <w:t>1</w:t>
      </w:r>
      <w:r w:rsidRPr="0034214E">
        <w:t>, shall at all reasonable times be open to inspection by such accountants or other agents as the respective Parties may from time to time designate.</w:t>
      </w:r>
    </w:p>
    <w:p w14:paraId="1064D344" w14:textId="77777777" w:rsidR="0086452B" w:rsidRPr="0034214E" w:rsidRDefault="0086452B" w:rsidP="0086452B">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any revenue to payment of the Authority’s Reimbursement Obligation described in this Agreement. </w:t>
      </w:r>
    </w:p>
    <w:p w14:paraId="69714581" w14:textId="37EDE820" w:rsidR="0086452B" w:rsidRPr="00E77917" w:rsidRDefault="0086452B" w:rsidP="0086452B">
      <w:pPr>
        <w:pStyle w:val="Heading2"/>
        <w:rPr>
          <w:szCs w:val="24"/>
        </w:rPr>
      </w:pPr>
      <w:bookmarkStart w:id="1" w:name="_Hlk535421608"/>
      <w:r w:rsidRPr="00E77917">
        <w:rPr>
          <w:u w:val="single"/>
        </w:rPr>
        <w:t>Authority Administrative Fee; Retainer</w:t>
      </w:r>
      <w:r w:rsidRPr="00F32420">
        <w:t xml:space="preserve">.  </w:t>
      </w:r>
      <w:r w:rsidR="00E77917" w:rsidRPr="00E77917">
        <w:t xml:space="preserve">Commencing in the calendar year 2020, an administrative fee (the “Authority Administrative Fee”) in the amount of $60,000 of the total annual TIF Revenue, escalating at a rate of two percent (2%) annually in each subsequent year, as more particularly shown on </w:t>
      </w:r>
      <w:r w:rsidR="00E77917" w:rsidRPr="00E77917">
        <w:rPr>
          <w:u w:val="single"/>
        </w:rPr>
        <w:t>Exhibit C</w:t>
      </w:r>
      <w:r w:rsidR="00E77917" w:rsidRPr="00E77917">
        <w:t>, shall be retained and collected annually by the Authority from the total TIF Revenue initially deposited in the Special Fund, the proceeds of which shall be used</w:t>
      </w:r>
      <w:r w:rsidR="00190207">
        <w:t>, among other things,</w:t>
      </w:r>
      <w:r w:rsidR="00E77917" w:rsidRPr="00E77917">
        <w:t xml:space="preserve"> to defray the Authority’s costs of administering the Urban Renewal Plan, </w:t>
      </w:r>
      <w:r w:rsidR="00E77917" w:rsidRPr="00E77917">
        <w:lastRenderedPageBreak/>
        <w:t xml:space="preserve">including, but not limited to, overhead, administration, accounting and reporting of the collection and disbursement of Pledged Revenues.  Notwithstanding the foregoing, until such time as the TIF Revenue is annually in excess of an amount required to fund an Authority Administrative Fee of not less than the applicable amount provided on </w:t>
      </w:r>
      <w:r w:rsidR="00E77917" w:rsidRPr="00E77917">
        <w:rPr>
          <w:u w:val="single"/>
        </w:rPr>
        <w:t>Exhibit C</w:t>
      </w:r>
      <w:r w:rsidR="00E77917" w:rsidRPr="00E77917">
        <w:t xml:space="preserve">, Developer will pay to the Authority an Authority Administrative Fee in such amount annually not later than June 30 of each year.  The Authority shall determine the extent to which the Authority Administrative Fee is available from TIF Revenue based on calculations provided by the El Paso County Assessor.  Any Authority Administrative Fee paid by Developer (a) shall be a Reimbursable Project Cost; and (b) shall bear interest at the rate of eight percent (8%) per annum from the date it is paid.  Any accrued but unpaid balance of the Authority Administrative Fee owing to the Authority by Developer shall bear interest at the rate of eight percent (8%) per annum from the date it became due.  In addition to the Authority Administrative Fee, Developer agrees to fund and maintain on retainer with the Authority an amount equal to $15,000, to be used by the Authority </w:t>
      </w:r>
      <w:r w:rsidR="00806F00">
        <w:t xml:space="preserve">to </w:t>
      </w:r>
      <w:r w:rsidR="00E77917" w:rsidRPr="00E77917">
        <w:t xml:space="preserve">pay extraordinary direct expenses of the Authority relating to Developer’s project, not included in the cost of issuance of Bonds or are outside the normal duties of the Authority in administering this Agreement, such extraordinary direct expenses include, but are not limited to, the costs associated with the engineer’s certification of costs, any accounting costs in excess of $3,000 associated with the certification of costs, legal and accounting costs related to any future financing of project costs, legal costs associated with defending the Authority’s ability to collect the Pledged Revenue, legal costs associated with defending the terms of this Agreement, </w:t>
      </w:r>
      <w:r w:rsidR="00FE74AD">
        <w:t xml:space="preserve">costs incurred in connection with the winding down of this Agreement and the Project upon the expiration of the Urban Renewal Plan (which obligation to fund such costs shall survive the termination or expiration of this Agreement) </w:t>
      </w:r>
      <w:r w:rsidR="00E77917" w:rsidRPr="00E77917">
        <w:t xml:space="preserve">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bookmarkEnd w:id="1"/>
    <w:p w14:paraId="398464DE" w14:textId="77777777" w:rsidR="0086452B" w:rsidRPr="0034214E" w:rsidRDefault="0086452B" w:rsidP="0086452B">
      <w:pPr>
        <w:pStyle w:val="Heading1"/>
      </w:pPr>
      <w:r w:rsidRPr="0034214E">
        <w:t>PLAN REVIEW PROCEDURE</w:t>
      </w:r>
    </w:p>
    <w:p w14:paraId="271E6DEB" w14:textId="77777777" w:rsidR="0086452B" w:rsidRPr="0034214E" w:rsidRDefault="0086452B">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Pr>
          <w:spacing w:val="-4"/>
        </w:rPr>
        <w:t>No later than the date on which any such Development Plans are submitted to the City for review, t</w:t>
      </w:r>
      <w:r w:rsidRPr="0034214E">
        <w:rPr>
          <w:spacing w:val="-4"/>
        </w:rPr>
        <w:t xml:space="preserve">he Developer </w:t>
      </w:r>
      <w:r>
        <w:rPr>
          <w:spacing w:val="-4"/>
        </w:rPr>
        <w:t xml:space="preserve">shall </w:t>
      </w:r>
      <w:r w:rsidRPr="0034214E">
        <w:rPr>
          <w:spacing w:val="-4"/>
        </w:rPr>
        <w:t xml:space="preserve">submit </w:t>
      </w:r>
      <w:r>
        <w:rPr>
          <w:spacing w:val="-4"/>
        </w:rPr>
        <w:t xml:space="preserve">to the Authority a copy of </w:t>
      </w:r>
      <w:r w:rsidRPr="0034214E">
        <w:rPr>
          <w:spacing w:val="-4"/>
        </w:rPr>
        <w:t xml:space="preserve">its </w:t>
      </w:r>
      <w:r>
        <w:rPr>
          <w:spacing w:val="-4"/>
        </w:rPr>
        <w:t>Development Plans</w:t>
      </w:r>
      <w:r w:rsidRPr="0034214E">
        <w:rPr>
          <w:spacing w:val="-4"/>
        </w:rPr>
        <w:t xml:space="preserve">, design standards, the construction documents, and the uses it proposes for the redevelopment of the Property (collectively, the “Plans and Specifications”) for each Phase or component thereof, which shall conform to any plan required for </w:t>
      </w:r>
      <w:r>
        <w:rPr>
          <w:spacing w:val="-4"/>
        </w:rPr>
        <w:t>the BID</w:t>
      </w:r>
      <w:r w:rsidRPr="0034214E">
        <w:rPr>
          <w:spacing w:val="-4"/>
        </w:rPr>
        <w:t>, the Concept Plan and the approvals by the City</w:t>
      </w:r>
      <w:r>
        <w:rPr>
          <w:spacing w:val="-4"/>
        </w:rPr>
        <w:t>, as applicable</w:t>
      </w:r>
      <w:r w:rsidRPr="0034214E">
        <w:rPr>
          <w:spacing w:val="-4"/>
        </w:rPr>
        <w:t>.  The Authority shall review the Plans and Specifications and no approval by the Authority shall be required except for any substantial change in the Plans and Specifications</w:t>
      </w:r>
      <w:r>
        <w:rPr>
          <w:spacing w:val="-4"/>
        </w:rPr>
        <w:t xml:space="preserve"> which would result in an inconsistency with the Concept Plan</w:t>
      </w:r>
      <w:r w:rsidRPr="0034214E">
        <w:rPr>
          <w:spacing w:val="-4"/>
        </w:rPr>
        <w:t>.  The Authority shall submit its comments to Developer within thirty (</w:t>
      </w:r>
      <w:r>
        <w:rPr>
          <w:spacing w:val="-4"/>
        </w:rPr>
        <w:t>1</w:t>
      </w:r>
      <w:r w:rsidRPr="0034214E">
        <w:rPr>
          <w:spacing w:val="-4"/>
        </w:rPr>
        <w:t>0) days after receipt of said Plans and Specifications by the Authority.</w:t>
      </w:r>
    </w:p>
    <w:p w14:paraId="556B9EF8" w14:textId="77777777" w:rsidR="0086452B" w:rsidRPr="0034214E" w:rsidRDefault="0086452B" w:rsidP="0086452B">
      <w:pPr>
        <w:pStyle w:val="Heading1"/>
      </w:pPr>
      <w:r w:rsidRPr="0034214E">
        <w:t>CONSTRUCTION OF IMPROVEMENTS</w:t>
      </w:r>
    </w:p>
    <w:p w14:paraId="1CBE7EB1" w14:textId="450D1E66" w:rsidR="0086452B" w:rsidRDefault="0086452B" w:rsidP="0086452B">
      <w:pPr>
        <w:pStyle w:val="Heading2"/>
      </w:pPr>
      <w:r w:rsidRPr="0034214E">
        <w:rPr>
          <w:u w:val="single"/>
        </w:rPr>
        <w:t>Commence</w:t>
      </w:r>
      <w:r>
        <w:rPr>
          <w:u w:val="single"/>
        </w:rPr>
        <w:t xml:space="preserve">ment of </w:t>
      </w:r>
      <w:r w:rsidRPr="0034214E">
        <w:rPr>
          <w:u w:val="single"/>
        </w:rPr>
        <w:t>Construction</w:t>
      </w:r>
      <w:r w:rsidRPr="0034214E">
        <w:t>.  The Parties agree that the Developer has commenced and completed studies and proposed designs in preliminary form required for design and construction of the Public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the City Council and compliance with the proper documentation and approval of such costs as </w:t>
      </w:r>
      <w:r w:rsidRPr="0034214E">
        <w:lastRenderedPageBreak/>
        <w:t>Reimbursable Project Costs in accordance with Section 7.</w:t>
      </w:r>
      <w:r w:rsidR="000110FC">
        <w:t>3</w:t>
      </w:r>
      <w:r w:rsidRPr="0034214E">
        <w:t xml:space="preserve">).  Developer </w:t>
      </w:r>
      <w:r>
        <w:t xml:space="preserve">and the BID have already commenced </w:t>
      </w:r>
      <w:r w:rsidRPr="0034214E">
        <w:t xml:space="preserve">the design and construction of the Improvements described in the Plans and Specifications.  </w:t>
      </w:r>
      <w:r w:rsidR="00D139B3">
        <w:t>Pursuant to the SW Downtown Development Agreement, the Parties have agreed to use commercially reasonable efforts to execute the Project, subject to the conditions and limitations set forth therein.</w:t>
      </w:r>
    </w:p>
    <w:p w14:paraId="65612C3D" w14:textId="637FC03E" w:rsidR="00806F00" w:rsidRPr="00806F00" w:rsidRDefault="00806F00" w:rsidP="00806F00">
      <w:pPr>
        <w:pStyle w:val="Heading2"/>
      </w:pPr>
      <w:r w:rsidRPr="00806F00">
        <w:rPr>
          <w:u w:val="single"/>
        </w:rPr>
        <w:t>Progress Reports</w:t>
      </w:r>
      <w:r w:rsidRPr="00806F00">
        <w:t xml:space="preserve">.  Until completion of construction of the Improvements, the Developer and </w:t>
      </w:r>
      <w:r>
        <w:t>the BID</w:t>
      </w:r>
      <w:r w:rsidRPr="00806F00">
        <w:t xml:space="preserve"> shall make</w:t>
      </w:r>
      <w:r>
        <w:t xml:space="preserve"> reports</w:t>
      </w:r>
      <w:r w:rsidRPr="00806F00">
        <w:t>, in such detail and at such times as may reasonably be requested by the Authority, but in any event no more frequently than quarterly, as to actual progress with respect to construction of the Improvements.</w:t>
      </w:r>
    </w:p>
    <w:p w14:paraId="530F03AC" w14:textId="77777777" w:rsidR="0086452B" w:rsidRPr="0034214E" w:rsidRDefault="0086452B" w:rsidP="0086452B">
      <w:pPr>
        <w:pStyle w:val="Heading1"/>
      </w:pPr>
      <w:r w:rsidRPr="0034214E">
        <w:t>REPRESENTATIONS AND WARRANTIES</w:t>
      </w:r>
    </w:p>
    <w:p w14:paraId="020CC03E" w14:textId="77777777" w:rsidR="0086452B" w:rsidRPr="0034214E" w:rsidRDefault="0086452B" w:rsidP="0086452B">
      <w:pPr>
        <w:pStyle w:val="Heading2"/>
      </w:pPr>
      <w:r w:rsidRPr="0034214E">
        <w:rPr>
          <w:u w:val="single"/>
        </w:rPr>
        <w:t>Representations and Warranties by the Authority</w:t>
      </w:r>
      <w:r w:rsidRPr="0034214E">
        <w:t>.  The Authority represents and warrants that:</w:t>
      </w:r>
    </w:p>
    <w:p w14:paraId="3E37CD6F" w14:textId="77777777" w:rsidR="0086452B" w:rsidRPr="0034214E" w:rsidRDefault="0086452B" w:rsidP="0086452B">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7DD0FD08" w14:textId="77777777" w:rsidR="0086452B" w:rsidRPr="0034214E" w:rsidRDefault="0086452B" w:rsidP="0086452B">
      <w:pPr>
        <w:pStyle w:val="Heading3"/>
      </w:pPr>
      <w:r w:rsidRPr="0034214E">
        <w:t>The activities of the Authority in the redevelopment of the Property are undertaken for the purpose of eliminating and preventing the development or spread of blight.</w:t>
      </w:r>
    </w:p>
    <w:p w14:paraId="5588075A" w14:textId="77777777" w:rsidR="0086452B" w:rsidRPr="0034214E" w:rsidRDefault="0086452B" w:rsidP="0086452B">
      <w:pPr>
        <w:pStyle w:val="Heading3"/>
      </w:pPr>
      <w:r w:rsidRPr="0034214E">
        <w:t>The Urban Renewal Plan has been validly adopted in accordance with the Act and is in full force and effect and has not been repealed.</w:t>
      </w:r>
    </w:p>
    <w:p w14:paraId="5E8EF3D1" w14:textId="77777777" w:rsidR="0086452B" w:rsidRPr="0034214E" w:rsidRDefault="0086452B" w:rsidP="0086452B">
      <w:pPr>
        <w:pStyle w:val="Heading3"/>
      </w:pPr>
      <w:r w:rsidRPr="0034214E">
        <w:t>The Authority knows of no litigation or threatened litigation, proceeding or investigation contesting the powers of the Authority or its officials with respect to the redevelopment of the Property, this Agreement or the Public Improvements.</w:t>
      </w:r>
    </w:p>
    <w:p w14:paraId="2D2C76E3" w14:textId="77777777" w:rsidR="0086452B" w:rsidRPr="0034214E" w:rsidRDefault="0086452B" w:rsidP="0086452B">
      <w:pPr>
        <w:pStyle w:val="Heading2"/>
      </w:pPr>
      <w:r w:rsidRPr="0034214E">
        <w:rPr>
          <w:u w:val="single"/>
        </w:rPr>
        <w:t>Representations and Warranties by the Developer</w:t>
      </w:r>
      <w:r w:rsidRPr="0034214E">
        <w:t>.  The Developer represents and warrants that:</w:t>
      </w:r>
    </w:p>
    <w:p w14:paraId="1DD9B3C4" w14:textId="05816898" w:rsidR="0086452B" w:rsidRPr="0034214E" w:rsidRDefault="0086452B" w:rsidP="0086452B">
      <w:pPr>
        <w:pStyle w:val="Heading3"/>
      </w:pPr>
      <w:r w:rsidRPr="0034214E">
        <w:t xml:space="preserve">The Developer is a duly organized and validly existing </w:t>
      </w:r>
      <w:r w:rsidR="004544BC">
        <w:t>limited liability company</w:t>
      </w:r>
      <w:r>
        <w:t xml:space="preserve"> </w:t>
      </w:r>
      <w:r w:rsidRPr="0034214E">
        <w:t>under the laws of the State of Colorado in good standing under the laws of Colorado, has the power to enter into this Agreement and has duly authorized the execution, delivery and performance of this Agreement.</w:t>
      </w:r>
    </w:p>
    <w:p w14:paraId="43D21CC0" w14:textId="77777777" w:rsidR="0086452B" w:rsidRPr="0034214E" w:rsidRDefault="0086452B" w:rsidP="0086452B">
      <w:pPr>
        <w:pStyle w:val="Heading3"/>
      </w:pPr>
      <w:r w:rsidRPr="0034214E">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14:paraId="6EA5D494" w14:textId="51A338BF" w:rsidR="0086452B" w:rsidRDefault="0086452B" w:rsidP="0086452B">
      <w:pPr>
        <w:pStyle w:val="Heading3"/>
      </w:pPr>
      <w:r w:rsidRPr="0034214E">
        <w:t>The Developer knows of no litigation or threatened litigation, proceeding or investigation contesting the powers of the Authority, the Developer with respect to the Property, this Agreement</w:t>
      </w:r>
      <w:r w:rsidR="00697DC1">
        <w:t xml:space="preserve"> </w:t>
      </w:r>
      <w:r w:rsidRPr="0034214E">
        <w:t>or the Improvements.</w:t>
      </w:r>
    </w:p>
    <w:p w14:paraId="6AD92202" w14:textId="6657311A" w:rsidR="0086452B" w:rsidRDefault="0086452B" w:rsidP="004544BC">
      <w:pPr>
        <w:pStyle w:val="Heading2"/>
      </w:pPr>
      <w:r w:rsidRPr="004544BC">
        <w:rPr>
          <w:u w:val="single"/>
        </w:rPr>
        <w:lastRenderedPageBreak/>
        <w:t>Representations and Warranties by the BID</w:t>
      </w:r>
      <w:r w:rsidR="004544BC">
        <w:t xml:space="preserve">.  </w:t>
      </w:r>
      <w:r w:rsidR="004544BC" w:rsidRPr="004544BC">
        <w:t xml:space="preserve">The </w:t>
      </w:r>
      <w:r w:rsidR="004544BC">
        <w:t>BID</w:t>
      </w:r>
      <w:r w:rsidR="004544BC" w:rsidRPr="004544BC">
        <w:t xml:space="preserve"> represents and warrants that:</w:t>
      </w:r>
    </w:p>
    <w:p w14:paraId="26FA8477" w14:textId="66A6F361" w:rsidR="0086452B" w:rsidRPr="0034214E" w:rsidRDefault="0086452B" w:rsidP="0086452B">
      <w:pPr>
        <w:pStyle w:val="Heading3"/>
      </w:pPr>
      <w:r w:rsidRPr="0034214E">
        <w:t xml:space="preserve">The </w:t>
      </w:r>
      <w:r>
        <w:t>BID</w:t>
      </w:r>
      <w:r w:rsidRPr="0034214E">
        <w:t xml:space="preserve"> is </w:t>
      </w:r>
      <w:r w:rsidR="00190207">
        <w:t xml:space="preserve">a </w:t>
      </w:r>
      <w:r w:rsidR="00190207" w:rsidRPr="00190207">
        <w:t xml:space="preserve">quasi-municipal corporation and political subdivision of the State of Colorado </w:t>
      </w:r>
      <w:r w:rsidRPr="0034214E">
        <w:t>duly organized and existing under the</w:t>
      </w:r>
      <w:r>
        <w:t xml:space="preserve"> BID Act</w:t>
      </w:r>
      <w:r w:rsidRPr="0034214E">
        <w:t xml:space="preserve">.  Under the provisions of the </w:t>
      </w:r>
      <w:r w:rsidR="004544BC">
        <w:t>BID</w:t>
      </w:r>
      <w:r>
        <w:t xml:space="preserve"> </w:t>
      </w:r>
      <w:r w:rsidRPr="0034214E">
        <w:t xml:space="preserve">Act, the </w:t>
      </w:r>
      <w:r>
        <w:t xml:space="preserve">BID </w:t>
      </w:r>
      <w:r w:rsidRPr="0034214E">
        <w:t>has the power to enter into this Agreement and carry out its obligations hereunder.</w:t>
      </w:r>
    </w:p>
    <w:p w14:paraId="73B885B2" w14:textId="77777777" w:rsidR="0086452B" w:rsidRPr="0034214E" w:rsidRDefault="0086452B" w:rsidP="0086452B">
      <w:pPr>
        <w:pStyle w:val="Heading3"/>
      </w:pPr>
      <w:r w:rsidRPr="0034214E">
        <w:t xml:space="preserve">The activities of the </w:t>
      </w:r>
      <w:r>
        <w:t xml:space="preserve">BID </w:t>
      </w:r>
      <w:r w:rsidRPr="0034214E">
        <w:t xml:space="preserve">in the redevelopment of the Property are undertaken </w:t>
      </w:r>
      <w:r>
        <w:t>in furtherance of its Operating Plan</w:t>
      </w:r>
      <w:r w:rsidRPr="0034214E">
        <w:t>.</w:t>
      </w:r>
    </w:p>
    <w:p w14:paraId="08EDEDE9" w14:textId="77777777" w:rsidR="0086452B" w:rsidRPr="0034214E" w:rsidRDefault="0086452B" w:rsidP="0086452B">
      <w:pPr>
        <w:pStyle w:val="Heading3"/>
      </w:pPr>
      <w:r w:rsidRPr="0034214E">
        <w:t xml:space="preserve">The </w:t>
      </w:r>
      <w:r>
        <w:t xml:space="preserve">BID </w:t>
      </w:r>
      <w:r w:rsidRPr="0034214E">
        <w:t xml:space="preserve">knows of no litigation or threatened litigation, proceeding or investigation contesting the powers of the </w:t>
      </w:r>
      <w:r>
        <w:t xml:space="preserve">BID </w:t>
      </w:r>
      <w:r w:rsidRPr="0034214E">
        <w:t>or its officials with respect to the redevelopment of the Property, this Agreement or the Public Improvements.</w:t>
      </w:r>
    </w:p>
    <w:p w14:paraId="2ACCBB05" w14:textId="77777777" w:rsidR="0086452B" w:rsidRPr="0034214E" w:rsidRDefault="0086452B" w:rsidP="0086452B">
      <w:pPr>
        <w:pStyle w:val="Heading1"/>
      </w:pPr>
      <w:r w:rsidRPr="0034214E">
        <w:t>RESTRICTIONS ON ASSIGNMENT AND TRANSFER</w:t>
      </w:r>
    </w:p>
    <w:p w14:paraId="0B2F6B36" w14:textId="77777777" w:rsidR="0086452B" w:rsidRPr="0034214E" w:rsidRDefault="0086452B" w:rsidP="0086452B">
      <w:pPr>
        <w:pStyle w:val="Heading2"/>
      </w:pPr>
      <w:r w:rsidRPr="0034214E">
        <w:rPr>
          <w:u w:val="single"/>
        </w:rPr>
        <w:t>Representations as to Development</w:t>
      </w:r>
      <w:r w:rsidRPr="0034214E">
        <w:t>.  The Developer represents and agrees that its undertakings under this Agreement are for the purpose of development of the Property.  The Developer further represents and agrees that</w:t>
      </w:r>
      <w:r>
        <w:t>:</w:t>
      </w:r>
    </w:p>
    <w:p w14:paraId="3530B987" w14:textId="77777777" w:rsidR="0086452B" w:rsidRPr="0034214E" w:rsidRDefault="0086452B" w:rsidP="0086452B">
      <w:pPr>
        <w:pStyle w:val="Heading3"/>
      </w:pPr>
      <w:r w:rsidRPr="0034214E">
        <w:t xml:space="preserve">the development of the Property is important to the general welfare of the Authority and the </w:t>
      </w:r>
      <w:proofErr w:type="gramStart"/>
      <w:r w:rsidRPr="0034214E">
        <w:t>City;</w:t>
      </w:r>
      <w:proofErr w:type="gramEnd"/>
    </w:p>
    <w:p w14:paraId="294A51C0" w14:textId="77777777" w:rsidR="0086452B" w:rsidRPr="0034214E" w:rsidRDefault="0086452B" w:rsidP="0086452B">
      <w:pPr>
        <w:pStyle w:val="Heading3"/>
      </w:pPr>
      <w:r w:rsidRPr="0034214E">
        <w:t>upon approval of Reimbursable Project Costs, the Pledged Revenues will be available to make such development possible; and</w:t>
      </w:r>
    </w:p>
    <w:p w14:paraId="232F0732" w14:textId="77777777" w:rsidR="0086452B" w:rsidRPr="0034214E" w:rsidRDefault="0086452B" w:rsidP="0086452B">
      <w:pPr>
        <w:pStyle w:val="Heading3"/>
      </w:pPr>
      <w:r w:rsidRPr="0034214E">
        <w:t xml:space="preserve">the qualifications and identity of the Developer and its principals are of </w:t>
      </w:r>
      <w:proofErr w:type="gramStart"/>
      <w:r w:rsidRPr="0034214E">
        <w:t>particular concern</w:t>
      </w:r>
      <w:proofErr w:type="gramEnd"/>
      <w:r w:rsidRPr="0034214E">
        <w:t xml:space="preserve">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5E33D7D6" w14:textId="77777777" w:rsidR="0086452B" w:rsidRPr="0034214E" w:rsidRDefault="0086452B" w:rsidP="0086452B">
      <w:pPr>
        <w:pStyle w:val="Heading2"/>
      </w:pPr>
      <w:r w:rsidRPr="0034214E">
        <w:rPr>
          <w:u w:val="single"/>
        </w:rPr>
        <w:t>Restrictions against Transfer of Agreement</w:t>
      </w:r>
      <w:r w:rsidRPr="0034214E">
        <w:t>.  The Developer agrees that:</w:t>
      </w:r>
    </w:p>
    <w:p w14:paraId="05EC224F" w14:textId="78517732" w:rsidR="0086452B" w:rsidRPr="0034214E" w:rsidRDefault="0086452B" w:rsidP="0086452B">
      <w:pPr>
        <w:pStyle w:val="Heading3"/>
      </w:pPr>
      <w:r>
        <w:t>Except for (</w:t>
      </w:r>
      <w:proofErr w:type="spellStart"/>
      <w:r>
        <w:t>i</w:t>
      </w:r>
      <w:proofErr w:type="spellEnd"/>
      <w:r>
        <w:t>) transfer to an Affiliate, for which consent shall not be required provided that the conditions set forth in Section 1</w:t>
      </w:r>
      <w:r w:rsidR="00C457C5">
        <w:t>1.2</w:t>
      </w:r>
      <w:r>
        <w:t xml:space="preserve">(b) are satisfied, or (ii) </w:t>
      </w:r>
      <w:r w:rsidRPr="003D0D74">
        <w:t xml:space="preserve">as security for obtaining </w:t>
      </w:r>
      <w:r>
        <w:t xml:space="preserve">financing necessary to construct the Project, the </w:t>
      </w:r>
      <w:r w:rsidRPr="0034214E">
        <w:t>Developer will not make, create, or suffer to be made or created, any total or partial sale or transfer in any form of this Agreement, without prior written approval of the</w:t>
      </w:r>
      <w:r>
        <w:t xml:space="preserve"> other Parties.  However, the </w:t>
      </w:r>
      <w:r w:rsidRPr="002109A9">
        <w:t xml:space="preserve">Developer or its Affiliates may sell, lease or otherwise transfer parcels of the Property to bona fide </w:t>
      </w:r>
      <w:proofErr w:type="gramStart"/>
      <w:r w:rsidRPr="002109A9">
        <w:t>third party</w:t>
      </w:r>
      <w:proofErr w:type="gramEnd"/>
      <w:r w:rsidRPr="002109A9">
        <w:t xml:space="preserve"> owners and operators in the ordinary course of business</w:t>
      </w:r>
      <w:r>
        <w:t xml:space="preserve"> without restriction</w:t>
      </w:r>
      <w:r w:rsidRPr="0034214E">
        <w:t xml:space="preserve">.  </w:t>
      </w:r>
      <w:r>
        <w:t xml:space="preserve">Any required </w:t>
      </w:r>
      <w:r w:rsidRPr="0034214E">
        <w:t xml:space="preserve">approval shall not be unreasonably withheld, conditioned, or delayed. </w:t>
      </w:r>
    </w:p>
    <w:p w14:paraId="4EECE3F3" w14:textId="1D54186B" w:rsidR="0086452B" w:rsidRPr="0034214E" w:rsidRDefault="0086452B" w:rsidP="0086452B">
      <w:pPr>
        <w:pStyle w:val="Heading3"/>
      </w:pPr>
      <w:r>
        <w:t xml:space="preserve">When approval is required, the Parties may </w:t>
      </w:r>
      <w:r w:rsidRPr="0034214E">
        <w:t>require the following as conditions to any such approval</w:t>
      </w:r>
      <w:r>
        <w:t xml:space="preserve">, and, in event of a transfer to an Affiliate, the Developer shall submit information to the other Parties </w:t>
      </w:r>
      <w:r w:rsidR="005E28F6" w:rsidRPr="005E28F6">
        <w:t xml:space="preserve">thirty days prior to the effective date of such transfer showing that </w:t>
      </w:r>
      <w:r w:rsidR="005E28F6">
        <w:t xml:space="preserve">Christopher S. Jenkins </w:t>
      </w:r>
      <w:r w:rsidR="005E28F6" w:rsidRPr="005E28F6">
        <w:t xml:space="preserve">serves as manager or general partner or </w:t>
      </w:r>
      <w:r w:rsidR="005E28F6" w:rsidRPr="005E28F6">
        <w:lastRenderedPageBreak/>
        <w:t xml:space="preserve">otherwise is in control, directly or indirectly, of such Affiliate and that </w:t>
      </w:r>
      <w:r>
        <w:t xml:space="preserve">the Affiliate </w:t>
      </w:r>
      <w:r w:rsidRPr="0034214E">
        <w:t>entity</w:t>
      </w:r>
      <w:r>
        <w:t xml:space="preserve"> satisfies (</w:t>
      </w:r>
      <w:proofErr w:type="spellStart"/>
      <w:r>
        <w:t>i</w:t>
      </w:r>
      <w:proofErr w:type="spellEnd"/>
      <w:r>
        <w:t>) and (ii) of the following provisions</w:t>
      </w:r>
      <w:r w:rsidRPr="0034214E">
        <w:t>:</w:t>
      </w:r>
    </w:p>
    <w:p w14:paraId="70F1C468" w14:textId="77777777" w:rsidR="0086452B" w:rsidRPr="0034214E" w:rsidRDefault="0086452B" w:rsidP="0086452B">
      <w:pPr>
        <w:pStyle w:val="Heading4"/>
      </w:pPr>
      <w:r w:rsidRPr="0034214E">
        <w:t xml:space="preserve">Any proposed transferee shall have the qualifications and financial responsibility, as reasonably determined by the Authority, necessary to fulfill the obligations of the </w:t>
      </w:r>
      <w:r>
        <w:t>Developer</w:t>
      </w:r>
      <w:r w:rsidRPr="0034214E">
        <w:t xml:space="preserve"> under this Agreement (or, if the transfer is of or related to part of the obligations under this Agreement, such obligations to the extent that they relate to such part).</w:t>
      </w:r>
    </w:p>
    <w:p w14:paraId="0608AF8A" w14:textId="3B37CDDA" w:rsidR="0086452B" w:rsidRPr="0034214E" w:rsidRDefault="0086452B" w:rsidP="0086452B">
      <w:pPr>
        <w:pStyle w:val="Heading4"/>
      </w:pPr>
      <w:r w:rsidRPr="0034214E">
        <w:t xml:space="preserve">Any proposed transferee, by instrument in writing satisfactory to the Authority, shall assume all of the obligations of the </w:t>
      </w:r>
      <w:r>
        <w:t>Developer</w:t>
      </w:r>
      <w:r w:rsidRPr="0034214E">
        <w:t xml:space="preserve"> under this Agreement and agree to be subject to the conditions and restrictions to which the </w:t>
      </w:r>
      <w:r>
        <w:t>Developer</w:t>
      </w:r>
      <w:r w:rsidRPr="0034214E">
        <w:t xml:space="preserve"> is subject (or, if the transfer is part of the</w:t>
      </w:r>
      <w:r>
        <w:t xml:space="preserve"> Agreement</w:t>
      </w:r>
      <w:r w:rsidRPr="0034214E">
        <w:t xml:space="preserve"> </w:t>
      </w:r>
      <w:r>
        <w:t>,</w:t>
      </w:r>
      <w:r w:rsidRPr="0034214E">
        <w:t xml:space="preserve"> such obligations, conditions and restrictions as they apply to such part) or such different obligations approved by the</w:t>
      </w:r>
      <w:r>
        <w:t xml:space="preserve"> other Parties</w:t>
      </w:r>
      <w:r w:rsidRPr="0034214E">
        <w:t xml:space="preserve">.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w:t>
      </w:r>
      <w:r w:rsidR="005E28F6">
        <w:t xml:space="preserve"> </w:t>
      </w:r>
      <w:r w:rsidR="005E28F6" w:rsidRPr="005E28F6">
        <w:t>No transfer of ownership in all or any part of the Agreement or the Property, or any interest therein, however occurring and whether voluntary or involuntary, shall limit the Authority’s rights, remedies or controls provided in this Agreement.</w:t>
      </w:r>
    </w:p>
    <w:p w14:paraId="1642E806" w14:textId="77777777" w:rsidR="0086452B" w:rsidRPr="0034214E" w:rsidRDefault="0086452B" w:rsidP="0086452B">
      <w:pPr>
        <w:pStyle w:val="Heading4"/>
      </w:pPr>
      <w:r w:rsidRPr="0034214E">
        <w:t xml:space="preserve">The </w:t>
      </w:r>
      <w:r>
        <w:t>Developer</w:t>
      </w:r>
      <w:r w:rsidRPr="0034214E">
        <w:t xml:space="preserve"> shall submit to the </w:t>
      </w:r>
      <w:r>
        <w:t xml:space="preserve">other Parties </w:t>
      </w:r>
      <w:r w:rsidRPr="0034214E">
        <w:t xml:space="preserve">for review all instruments and other legal documents involved in effecting transfers; and, unless </w:t>
      </w:r>
      <w:r>
        <w:t xml:space="preserve">another Party gives </w:t>
      </w:r>
      <w:r w:rsidRPr="0034214E">
        <w:t>notice of disapproval of a transfer within thirty (30) days after such submittal, such transfer shall be deemed approved.</w:t>
      </w:r>
    </w:p>
    <w:p w14:paraId="1FCBEC13" w14:textId="4D29B84D" w:rsidR="0086452B" w:rsidRPr="00172050" w:rsidRDefault="0086452B" w:rsidP="0086452B">
      <w:pPr>
        <w:pStyle w:val="Heading4"/>
      </w:pPr>
      <w:r w:rsidRPr="0034214E">
        <w:t xml:space="preserve">The </w:t>
      </w:r>
      <w:r>
        <w:t>Developer</w:t>
      </w:r>
      <w:r w:rsidRPr="0034214E">
        <w:t xml:space="preserve"> and its transferee shall comply with such other reasonable conditions as the </w:t>
      </w:r>
      <w:r>
        <w:t>other Parties</w:t>
      </w:r>
      <w:r w:rsidRPr="0034214E">
        <w:t xml:space="preserve"> may reasonably require </w:t>
      </w:r>
      <w:proofErr w:type="gramStart"/>
      <w:r w:rsidRPr="0034214E">
        <w:t>to safeguard</w:t>
      </w:r>
      <w:proofErr w:type="gramEnd"/>
      <w:r w:rsidRPr="0034214E">
        <w:t xml:space="preserve"> the purposes of the Act and the Urban Renewal Plan.  </w:t>
      </w:r>
      <w:r w:rsidR="005E28F6" w:rsidRPr="005E28F6">
        <w:t>Unless the Authority otherwise agrees in writing, upon the written approval of the Authority of a transfer of all or part or any interest in the Property, this Agreement or the Developer, the Developer or any other party bound by this Agreement shall not be relieved of its obligations under this Agreement to the extent of such transfer or the interest in the Property, Agreement or Developer included in such transfer.</w:t>
      </w:r>
    </w:p>
    <w:p w14:paraId="6D2C49B9" w14:textId="77777777" w:rsidR="0086452B" w:rsidRPr="0034214E" w:rsidRDefault="0086452B" w:rsidP="0086452B">
      <w:pPr>
        <w:pStyle w:val="Heading1"/>
      </w:pPr>
      <w:r w:rsidRPr="0034214E">
        <w:t>EVENTS OF DEFAULT; REMEDIES</w:t>
      </w:r>
    </w:p>
    <w:p w14:paraId="57154095" w14:textId="77777777" w:rsidR="0086452B" w:rsidRPr="0034214E" w:rsidRDefault="0086452B" w:rsidP="0086452B">
      <w:pPr>
        <w:pStyle w:val="Heading2"/>
      </w:pPr>
      <w:r w:rsidRPr="0034214E">
        <w:rPr>
          <w:u w:val="single"/>
        </w:rPr>
        <w:t>Events of Default by Developer</w:t>
      </w:r>
      <w:r w:rsidRPr="0034214E">
        <w:t>.  “Default” or an “Event of Default” by Developer under this Agreement shall mean one or more of the following events:</w:t>
      </w:r>
    </w:p>
    <w:p w14:paraId="655B7010" w14:textId="77777777" w:rsidR="0086452B" w:rsidRPr="0034214E" w:rsidRDefault="0086452B" w:rsidP="0086452B">
      <w:pPr>
        <w:pStyle w:val="Heading3"/>
      </w:pPr>
      <w:r w:rsidRPr="0034214E">
        <w:t xml:space="preserve">the Developer, in violation of this Agreement, assigns or attempts to assign or transfer this Agreement, or any rights in </w:t>
      </w:r>
      <w:r>
        <w:t xml:space="preserve">this </w:t>
      </w:r>
      <w:proofErr w:type="gramStart"/>
      <w:r>
        <w:t>Agreement</w:t>
      </w:r>
      <w:r w:rsidRPr="0034214E">
        <w:t>;</w:t>
      </w:r>
      <w:proofErr w:type="gramEnd"/>
      <w:r w:rsidRPr="0034214E">
        <w:t xml:space="preserve"> </w:t>
      </w:r>
    </w:p>
    <w:p w14:paraId="7FE71124" w14:textId="77777777" w:rsidR="0086452B" w:rsidRPr="0034214E" w:rsidRDefault="0086452B" w:rsidP="0086452B">
      <w:pPr>
        <w:pStyle w:val="Heading3"/>
      </w:pPr>
      <w:r w:rsidRPr="0034214E">
        <w:t xml:space="preserve">a holder of a mortgage or deed of trust exercises any remedy provided by loan documents, law or equity that materially interferes with the construction of the Improvements; or </w:t>
      </w:r>
    </w:p>
    <w:p w14:paraId="5E899188" w14:textId="0413FECE" w:rsidR="0086452B" w:rsidRPr="0034214E" w:rsidRDefault="0086452B" w:rsidP="0086452B">
      <w:pPr>
        <w:pStyle w:val="Heading3"/>
        <w:rPr>
          <w:spacing w:val="-4"/>
        </w:rPr>
      </w:pPr>
      <w:r w:rsidRPr="0034214E">
        <w:lastRenderedPageBreak/>
        <w:t>subject to the grace period described in Section 1</w:t>
      </w:r>
      <w:r w:rsidR="00C457C5">
        <w:t>2</w:t>
      </w:r>
      <w:r w:rsidRPr="0034214E">
        <w:t>.</w:t>
      </w:r>
      <w:r w:rsidR="00C457C5">
        <w:t>4</w:t>
      </w:r>
      <w:r w:rsidRPr="0034214E">
        <w:t>, Developer fails to observe or perform any material and substantial covenant, obligation or agreement required of it under this Agreement.</w:t>
      </w:r>
    </w:p>
    <w:p w14:paraId="5EA0E732" w14:textId="4E0F2233" w:rsidR="0086452B" w:rsidRDefault="0086452B" w:rsidP="0086452B">
      <w:pPr>
        <w:pStyle w:val="Heading2"/>
      </w:pPr>
      <w:r w:rsidRPr="0034214E">
        <w:rPr>
          <w:u w:val="single"/>
        </w:rPr>
        <w:t>Events of Default by the Authority</w:t>
      </w:r>
      <w:r w:rsidRPr="0034214E">
        <w:t>.  “Default” or an “Event of Default” by the Authority under this Agreement shall mean, subject to the grace period described in Section 1</w:t>
      </w:r>
      <w:r w:rsidR="00C457C5">
        <w:t>2</w:t>
      </w:r>
      <w:r w:rsidRPr="0034214E">
        <w:t>.</w:t>
      </w:r>
      <w:r w:rsidR="00C457C5">
        <w:t>4</w:t>
      </w:r>
      <w:r w:rsidRPr="0034214E">
        <w:t>, the Authority fails to observe or perform any material and substantial covenant, obligation or agreement required of it under this Agreement.</w:t>
      </w:r>
    </w:p>
    <w:p w14:paraId="5DD24C5E" w14:textId="51561325" w:rsidR="0086452B" w:rsidRPr="00A550C1" w:rsidRDefault="0086452B" w:rsidP="0086452B">
      <w:pPr>
        <w:pStyle w:val="Heading2"/>
      </w:pPr>
      <w:r>
        <w:rPr>
          <w:u w:val="single"/>
        </w:rPr>
        <w:t>Events of Default by the BID.</w:t>
      </w:r>
      <w:r>
        <w:t xml:space="preserve">  “Default” or an “Event of Default” by the BID under this Agreement shall mean, subject to the grace period described in Section 1</w:t>
      </w:r>
      <w:r w:rsidR="00C457C5">
        <w:t>2</w:t>
      </w:r>
      <w:r>
        <w:t>.</w:t>
      </w:r>
      <w:r w:rsidR="00C457C5">
        <w:t>4</w:t>
      </w:r>
      <w:r>
        <w:t>, the BID fails to observe or perform any material and substantial covenant, obligation or agreement required of it under this Agreement.</w:t>
      </w:r>
    </w:p>
    <w:p w14:paraId="67C89EDE" w14:textId="77777777" w:rsidR="0086452B" w:rsidRPr="0034214E" w:rsidRDefault="0086452B" w:rsidP="0086452B">
      <w:pPr>
        <w:pStyle w:val="Heading2"/>
      </w:pPr>
      <w:r w:rsidRPr="0034214E">
        <w:rPr>
          <w:u w:val="single"/>
        </w:rPr>
        <w:t>Grace Periods</w:t>
      </w:r>
      <w:r w:rsidRPr="0034214E">
        <w:t xml:space="preserve">.  Upon the occurrence of a Default or an Event of Default by either </w:t>
      </w:r>
      <w:r>
        <w:t>P</w:t>
      </w:r>
      <w:r w:rsidRPr="0034214E">
        <w:t xml:space="preserve">arty which is subject to the grace period described in this section, such party shall, upon written notice from the other,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p>
    <w:p w14:paraId="168399FF" w14:textId="138FEC59" w:rsidR="0086452B" w:rsidRPr="0034214E" w:rsidRDefault="0086452B" w:rsidP="0086452B">
      <w:pPr>
        <w:pStyle w:val="Heading2"/>
      </w:pPr>
      <w:r w:rsidRPr="0034214E">
        <w:rPr>
          <w:u w:val="single"/>
        </w:rPr>
        <w:t>Remedies on Default</w:t>
      </w:r>
      <w:r w:rsidRPr="0034214E">
        <w:t xml:space="preserve">.  Whenever any Default or Event of Default occurs and, if applicable, is not cured under Section </w:t>
      </w:r>
      <w:r w:rsidR="00C457C5">
        <w:t>12.4</w:t>
      </w:r>
      <w:r w:rsidRPr="0034214E">
        <w:t xml:space="preserve"> of this Agreement, the non-defaulting Party may take any one or more of the following actions:</w:t>
      </w:r>
    </w:p>
    <w:p w14:paraId="51B77BF7" w14:textId="20C63DBD" w:rsidR="0086452B" w:rsidRPr="0034214E" w:rsidRDefault="0086452B" w:rsidP="0086452B">
      <w:pPr>
        <w:pStyle w:val="Heading3"/>
      </w:pPr>
      <w:r w:rsidRPr="0034214E">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w:t>
      </w:r>
      <w:r>
        <w:t xml:space="preserve"> (except that, once BID Bonds have been issued, the Authority may not suspend remittance of the Pledged Revenues pursuant to this Agreement)</w:t>
      </w:r>
      <w:r w:rsidRPr="0034214E">
        <w:t>;</w:t>
      </w:r>
      <w:r w:rsidR="00891C5E">
        <w:t xml:space="preserve"> or</w:t>
      </w:r>
    </w:p>
    <w:p w14:paraId="071B92A4" w14:textId="77777777" w:rsidR="0086452B" w:rsidRPr="0034214E" w:rsidRDefault="0086452B" w:rsidP="0086452B">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47D5643C" w14:textId="3530E6CE" w:rsidR="0086452B" w:rsidRPr="0034214E" w:rsidRDefault="0086452B" w:rsidP="0086452B">
      <w:pPr>
        <w:pStyle w:val="Heading2"/>
      </w:pPr>
      <w:r w:rsidRPr="0034214E">
        <w:rPr>
          <w:u w:val="single"/>
        </w:rPr>
        <w:t>Delays/Waivers</w:t>
      </w:r>
      <w:r w:rsidRPr="0034214E">
        <w:t xml:space="preserve">.  Except as otherwise expressly provided in this Agreement, any delay by </w:t>
      </w:r>
      <w:r>
        <w:t>any</w:t>
      </w:r>
      <w:r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t>an</w:t>
      </w:r>
      <w:r w:rsidRPr="0034214E">
        <w:t xml:space="preserve">other Party under this Agreement be considered as a waiver of rights with respect to any other Default by </w:t>
      </w:r>
      <w:r>
        <w:t>another Party</w:t>
      </w:r>
      <w:r w:rsidRPr="0034214E">
        <w:t xml:space="preserve">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w:t>
      </w:r>
      <w:r w:rsidRPr="0034214E">
        <w:lastRenderedPageBreak/>
        <w:t>or otherwise at a time when it may still hope to resolve the problems created by the Default involved.</w:t>
      </w:r>
    </w:p>
    <w:p w14:paraId="607336A6" w14:textId="11A62E47" w:rsidR="0086452B" w:rsidRPr="0034214E" w:rsidRDefault="0086452B" w:rsidP="0086452B">
      <w:pPr>
        <w:pStyle w:val="Heading2"/>
      </w:pPr>
      <w:r w:rsidRPr="0034214E">
        <w:rPr>
          <w:u w:val="single"/>
        </w:rPr>
        <w:t>Enforced Delay in Performance for Causes Beyond Control of Party</w:t>
      </w:r>
      <w:r w:rsidRPr="0034214E">
        <w:t xml:space="preserve">.  </w:t>
      </w:r>
      <w:r>
        <w:t>None of</w:t>
      </w:r>
      <w:r w:rsidRPr="0034214E">
        <w:t xml:space="preserve"> the Authority</w:t>
      </w:r>
      <w:r>
        <w:t>, the BID</w:t>
      </w:r>
      <w:r w:rsidRPr="0034214E">
        <w:t xml:space="preserve">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rsidR="007C404A">
        <w:t>another</w:t>
      </w:r>
      <w:r w:rsidRPr="0034214E">
        <w:t xml:space="preserve">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In the event of the occurrence of any such enforced delay, the time or times for performance of the obligations of the Party claiming delay shall be extended for a period of the enforced delay; provided that the </w:t>
      </w:r>
      <w:r w:rsidR="007C404A">
        <w:t>P</w:t>
      </w:r>
      <w:r w:rsidRPr="0034214E">
        <w:t xml:space="preserve">arty seeking the benefit of the provisions of this section shall, within </w:t>
      </w:r>
      <w:r>
        <w:t xml:space="preserve">thirty </w:t>
      </w:r>
      <w:r w:rsidRPr="0034214E">
        <w:t>(</w:t>
      </w:r>
      <w:r>
        <w:t>30</w:t>
      </w:r>
      <w:r w:rsidRPr="0034214E">
        <w:t xml:space="preserve">) days after such Party knows of any such enforced delay, first notify the other </w:t>
      </w:r>
      <w:r w:rsidR="007C404A">
        <w:t>P</w:t>
      </w:r>
      <w:r w:rsidRPr="0034214E">
        <w:t>art</w:t>
      </w:r>
      <w:r w:rsidR="007C404A">
        <w:t>ies</w:t>
      </w:r>
      <w:r w:rsidRPr="0034214E">
        <w:t xml:space="preserve"> of the specific delay in writing and claim the right to an extension for the period of the enforced delay.  </w:t>
      </w:r>
    </w:p>
    <w:p w14:paraId="3F046AE0" w14:textId="77777777" w:rsidR="0086452B" w:rsidRPr="0034214E" w:rsidRDefault="0086452B" w:rsidP="0086452B">
      <w:pPr>
        <w:pStyle w:val="Heading2"/>
      </w:pPr>
      <w:r w:rsidRPr="0034214E">
        <w:rPr>
          <w:u w:val="single"/>
        </w:rPr>
        <w:t>Effect of Termination</w:t>
      </w:r>
      <w:r w:rsidRPr="0034214E">
        <w:t xml:space="preserve">.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  If this Agreement is terminated, the Authority shall retain all TIF </w:t>
      </w:r>
      <w:r>
        <w:t>R</w:t>
      </w:r>
      <w:r w:rsidRPr="0034214E">
        <w:t>evenues until all obligations of the Authority created pursuant to the Urban Renewal Plan are satisfied and apply those funds to such uses or expenses as the Authority deems appropriate.</w:t>
      </w:r>
    </w:p>
    <w:p w14:paraId="2784F4C9" w14:textId="044E1B56" w:rsidR="0086452B" w:rsidRPr="0034214E" w:rsidRDefault="0086452B" w:rsidP="0086452B">
      <w:pPr>
        <w:pStyle w:val="Heading2"/>
      </w:pPr>
      <w:r w:rsidRPr="0034214E">
        <w:rPr>
          <w:u w:val="single"/>
        </w:rPr>
        <w:t>Rights and Remedies Cumulative</w:t>
      </w:r>
      <w:r w:rsidRPr="0034214E">
        <w:t xml:space="preserve">.  The rights and remedies of the Parties to this Agreement are cumulative and the exercise by </w:t>
      </w:r>
      <w:r w:rsidR="007C404A">
        <w:t>any P</w:t>
      </w:r>
      <w:r w:rsidRPr="0034214E">
        <w:t xml:space="preserve">arty of any one or more of such rights or remedies shall not preclude the exercise by it, at the same or different times, of any other right or remedies for any other Default by </w:t>
      </w:r>
      <w:r w:rsidR="007C404A">
        <w:t>anot</w:t>
      </w:r>
      <w:r w:rsidRPr="0034214E">
        <w:t xml:space="preserve">her </w:t>
      </w:r>
      <w:r w:rsidR="007C404A">
        <w:t>P</w:t>
      </w:r>
      <w:r w:rsidRPr="0034214E">
        <w:t>arty.</w:t>
      </w:r>
    </w:p>
    <w:p w14:paraId="32AF7B97" w14:textId="77777777" w:rsidR="0086452B" w:rsidRPr="0034214E" w:rsidRDefault="0086452B" w:rsidP="0086452B">
      <w:pPr>
        <w:pStyle w:val="Heading1"/>
      </w:pPr>
      <w:r w:rsidRPr="0034214E">
        <w:t>INDEMNITY</w:t>
      </w:r>
    </w:p>
    <w:p w14:paraId="11252F05" w14:textId="18AC1ED6" w:rsidR="0086452B" w:rsidRPr="0034214E" w:rsidRDefault="0086452B" w:rsidP="0086452B">
      <w:pPr>
        <w:pStyle w:val="Heading2"/>
      </w:pPr>
      <w:r w:rsidRPr="0034214E">
        <w:rPr>
          <w:u w:val="single"/>
        </w:rPr>
        <w:t>General Indemnity</w:t>
      </w:r>
      <w:r w:rsidRPr="0034214E">
        <w:t>.  The Developer</w:t>
      </w:r>
      <w:r w:rsidR="007C404A">
        <w:t>, and, to the extent it legally may, the BID,</w:t>
      </w:r>
      <w:r w:rsidRPr="0034214E">
        <w:t xml:space="preserve">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p>
    <w:p w14:paraId="5A897A27" w14:textId="77777777" w:rsidR="0086452B" w:rsidRPr="0034214E" w:rsidRDefault="0086452B" w:rsidP="0086452B">
      <w:pPr>
        <w:pStyle w:val="Heading1"/>
      </w:pPr>
      <w:r w:rsidRPr="0034214E">
        <w:t>MISCELLANEOUS</w:t>
      </w:r>
    </w:p>
    <w:p w14:paraId="672011DE" w14:textId="77777777" w:rsidR="0086452B" w:rsidRPr="0034214E" w:rsidRDefault="0086452B" w:rsidP="0086452B">
      <w:pPr>
        <w:pStyle w:val="Heading2"/>
      </w:pPr>
      <w:r w:rsidRPr="0034214E">
        <w:rPr>
          <w:u w:val="single"/>
        </w:rPr>
        <w:t>Conflicts of Interest</w:t>
      </w:r>
      <w:r w:rsidRPr="0034214E">
        <w:t xml:space="preserve">.  None of the following shall have any interest, direct or indirect, in this Agreement: a member of the governing body of the Authority or of the City, an </w:t>
      </w:r>
      <w:r w:rsidRPr="0034214E">
        <w:lastRenderedPageBreak/>
        <w:t>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545A5A79" w14:textId="77777777" w:rsidR="0086452B" w:rsidRPr="0034214E" w:rsidRDefault="0086452B" w:rsidP="0086452B">
      <w:pPr>
        <w:pStyle w:val="Heading2"/>
      </w:pPr>
      <w:r w:rsidRPr="0034214E">
        <w:rPr>
          <w:u w:val="single"/>
        </w:rPr>
        <w:t>Titles of Sections</w:t>
      </w:r>
      <w:r w:rsidRPr="009F60CC">
        <w:t>.</w:t>
      </w:r>
      <w:r w:rsidRPr="0034214E">
        <w:t xml:space="preserve">  Any titles of the several parts and sections of this Agreement are inserted for convenience of reference only and shall be disregarded in construing or interpreting any of its provisions.</w:t>
      </w:r>
    </w:p>
    <w:p w14:paraId="294DB238" w14:textId="77777777" w:rsidR="0086452B" w:rsidRPr="0034214E" w:rsidRDefault="0086452B" w:rsidP="0086452B">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24BAD527" w14:textId="0760A992" w:rsidR="0086452B" w:rsidRPr="0034214E" w:rsidRDefault="0086452B" w:rsidP="0086452B">
      <w:pPr>
        <w:pStyle w:val="Heading2"/>
      </w:pPr>
      <w:r w:rsidRPr="0034214E">
        <w:rPr>
          <w:u w:val="single"/>
        </w:rPr>
        <w:t>No Third-Party Beneficiaries</w:t>
      </w:r>
      <w:r w:rsidRPr="0034214E">
        <w:t>.  No third-party beneficiary rights are created in favor of any person not a party to this Agreement</w:t>
      </w:r>
      <w:r w:rsidRPr="00614A37">
        <w:t>.</w:t>
      </w:r>
      <w:r w:rsidR="00891C5E" w:rsidRPr="00614A37">
        <w:t xml:space="preserve">  Notwithstanding the foregoing, the bondholders of the BID Bonds, acting through the </w:t>
      </w:r>
      <w:r w:rsidR="00F91C14">
        <w:t>T</w:t>
      </w:r>
      <w:r w:rsidR="00DC69AC" w:rsidRPr="00614A37">
        <w:t>rustee</w:t>
      </w:r>
      <w:r w:rsidR="00891C5E" w:rsidRPr="00614A37">
        <w:t>, are hereby made third party beneficiaries of this Agreement to the extent the enforcement or nonenforcement of obligations under this Agreement impairs the obligations of the Parties under the Bond Documents.</w:t>
      </w:r>
    </w:p>
    <w:p w14:paraId="2E900599" w14:textId="77777777" w:rsidR="0086452B" w:rsidRPr="0034214E" w:rsidRDefault="0086452B" w:rsidP="0086452B">
      <w:pPr>
        <w:pStyle w:val="Heading2"/>
      </w:pPr>
      <w:r w:rsidRPr="0034214E">
        <w:rPr>
          <w:u w:val="single"/>
        </w:rPr>
        <w:t>Venue and Applicable Law</w:t>
      </w:r>
      <w:r w:rsidRPr="0034214E">
        <w:t xml:space="preserve">.  Any action arising out of this Agreement shall be brought in the El Paso County </w:t>
      </w:r>
      <w:r>
        <w:t>District</w:t>
      </w:r>
      <w:r w:rsidRPr="0034214E">
        <w:t xml:space="preserve">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66337C8C" w14:textId="77777777" w:rsidR="0086452B" w:rsidRPr="0034214E" w:rsidRDefault="0086452B" w:rsidP="0086452B">
      <w:pPr>
        <w:pStyle w:val="Heading2"/>
      </w:pPr>
      <w:r w:rsidRPr="0034214E">
        <w:rPr>
          <w:u w:val="single"/>
        </w:rPr>
        <w:t>Binding Effect</w:t>
      </w:r>
      <w:r w:rsidRPr="0034214E">
        <w:t>.  The Agreement shall be binding on the Parties hereto, and their successors and assigns.</w:t>
      </w:r>
    </w:p>
    <w:p w14:paraId="603DE904" w14:textId="77777777" w:rsidR="0086452B" w:rsidRPr="0034214E" w:rsidRDefault="0086452B" w:rsidP="0086452B">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42211658" w14:textId="77777777" w:rsidR="0086452B" w:rsidRPr="0034214E" w:rsidRDefault="0086452B" w:rsidP="0086452B">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0A630A49" w14:textId="77777777" w:rsidR="0086452B" w:rsidRPr="0034214E" w:rsidRDefault="0086452B" w:rsidP="0086452B">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48E3D9B" w14:textId="77777777" w:rsidR="0086452B" w:rsidRPr="0034214E" w:rsidRDefault="0086452B" w:rsidP="0086452B">
      <w:pPr>
        <w:pStyle w:val="Heading3"/>
        <w:spacing w:after="0"/>
      </w:pPr>
      <w:r w:rsidRPr="0034214E">
        <w:t>in the case of the Developer, is addressed to or delivered to the Developer as follows:</w:t>
      </w:r>
    </w:p>
    <w:p w14:paraId="2FDE27CB" w14:textId="77777777" w:rsidR="0086452B" w:rsidRDefault="0086452B" w:rsidP="0086452B">
      <w:pPr>
        <w:pStyle w:val="Style20"/>
        <w:spacing w:after="0"/>
        <w:ind w:left="1980"/>
        <w:rPr>
          <w:color w:val="auto"/>
          <w:spacing w:val="-4"/>
          <w:sz w:val="24"/>
        </w:rPr>
      </w:pPr>
    </w:p>
    <w:p w14:paraId="78A97155" w14:textId="6B8082E9" w:rsidR="0086452B" w:rsidRPr="0034214E" w:rsidRDefault="004544BC" w:rsidP="0086452B">
      <w:pPr>
        <w:pStyle w:val="Style20"/>
        <w:keepNext/>
        <w:spacing w:after="0"/>
        <w:ind w:left="1987"/>
        <w:rPr>
          <w:color w:val="auto"/>
          <w:spacing w:val="-4"/>
          <w:sz w:val="24"/>
        </w:rPr>
      </w:pPr>
      <w:r>
        <w:rPr>
          <w:color w:val="auto"/>
          <w:spacing w:val="-4"/>
          <w:sz w:val="24"/>
        </w:rPr>
        <w:lastRenderedPageBreak/>
        <w:t>Interurban Development Company, LLC</w:t>
      </w:r>
    </w:p>
    <w:p w14:paraId="176DBAE0" w14:textId="77777777" w:rsidR="0086452B" w:rsidRDefault="0086452B" w:rsidP="0086452B">
      <w:pPr>
        <w:keepNext/>
        <w:spacing w:after="0"/>
        <w:ind w:left="1987"/>
        <w:rPr>
          <w:spacing w:val="-4"/>
        </w:rPr>
      </w:pPr>
      <w:r w:rsidRPr="00157396">
        <w:rPr>
          <w:spacing w:val="-4"/>
        </w:rPr>
        <w:t>Attn:</w:t>
      </w:r>
      <w:r w:rsidRPr="00157396">
        <w:rPr>
          <w:spacing w:val="-4"/>
        </w:rPr>
        <w:tab/>
      </w:r>
      <w:r>
        <w:rPr>
          <w:spacing w:val="-4"/>
        </w:rPr>
        <w:t>Christopher S. Jenkins</w:t>
      </w:r>
    </w:p>
    <w:p w14:paraId="67A6D38D" w14:textId="77777777" w:rsidR="0086452B" w:rsidRDefault="0086452B" w:rsidP="0086452B">
      <w:pPr>
        <w:keepNext/>
        <w:spacing w:after="0"/>
        <w:ind w:left="1987"/>
        <w:rPr>
          <w:spacing w:val="-4"/>
        </w:rPr>
      </w:pPr>
      <w:r w:rsidRPr="00857738">
        <w:rPr>
          <w:spacing w:val="-4"/>
        </w:rPr>
        <w:t>111 South Tejon Street</w:t>
      </w:r>
      <w:r>
        <w:rPr>
          <w:spacing w:val="-4"/>
        </w:rPr>
        <w:t xml:space="preserve">, Suite </w:t>
      </w:r>
      <w:r w:rsidRPr="00857738">
        <w:rPr>
          <w:spacing w:val="-4"/>
        </w:rPr>
        <w:t>222</w:t>
      </w:r>
    </w:p>
    <w:p w14:paraId="060EC090" w14:textId="77777777" w:rsidR="0086452B" w:rsidRDefault="0086452B" w:rsidP="0086452B">
      <w:pPr>
        <w:spacing w:after="0"/>
        <w:ind w:left="1980"/>
        <w:rPr>
          <w:color w:val="000000"/>
          <w:spacing w:val="-4"/>
        </w:rPr>
      </w:pPr>
      <w:r w:rsidRPr="0034214E">
        <w:rPr>
          <w:color w:val="000000"/>
          <w:spacing w:val="-4"/>
        </w:rPr>
        <w:t>Colorado Springs, CO 80903</w:t>
      </w:r>
    </w:p>
    <w:p w14:paraId="7EFDFCD8" w14:textId="77777777" w:rsidR="0086452B" w:rsidRPr="0034214E" w:rsidRDefault="0086452B" w:rsidP="0086452B">
      <w:pPr>
        <w:spacing w:after="0"/>
        <w:ind w:left="1980"/>
        <w:rPr>
          <w:color w:val="000000"/>
          <w:spacing w:val="-4"/>
        </w:rPr>
      </w:pPr>
      <w:r>
        <w:rPr>
          <w:color w:val="000000"/>
          <w:spacing w:val="-4"/>
        </w:rPr>
        <w:t>Email:</w:t>
      </w:r>
      <w:r>
        <w:rPr>
          <w:color w:val="000000"/>
          <w:spacing w:val="-4"/>
        </w:rPr>
        <w:tab/>
      </w:r>
      <w:hyperlink r:id="rId8" w:history="1">
        <w:r w:rsidRPr="000C4DA4">
          <w:rPr>
            <w:rStyle w:val="Hyperlink"/>
            <w:spacing w:val="-4"/>
          </w:rPr>
          <w:t>chrisjenkins@nor-wood.com</w:t>
        </w:r>
      </w:hyperlink>
      <w:r>
        <w:rPr>
          <w:color w:val="000000"/>
          <w:spacing w:val="-4"/>
        </w:rPr>
        <w:t xml:space="preserve">  </w:t>
      </w:r>
    </w:p>
    <w:p w14:paraId="70D9F4EF" w14:textId="77777777" w:rsidR="0086452B" w:rsidRPr="0034214E" w:rsidRDefault="0086452B" w:rsidP="0086452B">
      <w:pPr>
        <w:spacing w:after="0"/>
        <w:ind w:left="1980"/>
        <w:rPr>
          <w:color w:val="000000"/>
          <w:spacing w:val="-4"/>
        </w:rPr>
      </w:pPr>
    </w:p>
    <w:p w14:paraId="74966870" w14:textId="77777777" w:rsidR="0086452B" w:rsidRPr="0034214E" w:rsidRDefault="0086452B" w:rsidP="0086452B">
      <w:pPr>
        <w:spacing w:after="0"/>
        <w:ind w:left="1980"/>
        <w:rPr>
          <w:color w:val="000000"/>
          <w:spacing w:val="-4"/>
        </w:rPr>
      </w:pPr>
      <w:r w:rsidRPr="0034214E">
        <w:rPr>
          <w:color w:val="000000"/>
          <w:spacing w:val="-4"/>
        </w:rPr>
        <w:t>with a copy to:</w:t>
      </w:r>
    </w:p>
    <w:p w14:paraId="49317504" w14:textId="77777777" w:rsidR="0086452B" w:rsidRPr="0034214E" w:rsidRDefault="0086452B" w:rsidP="0086452B">
      <w:pPr>
        <w:spacing w:after="0" w:line="218" w:lineRule="auto"/>
        <w:ind w:left="1980"/>
        <w:rPr>
          <w:color w:val="000000"/>
          <w:spacing w:val="-4"/>
        </w:rPr>
      </w:pPr>
      <w:r w:rsidRPr="0034214E">
        <w:rPr>
          <w:color w:val="000000"/>
          <w:spacing w:val="-4"/>
        </w:rPr>
        <w:t xml:space="preserve">                                 </w:t>
      </w:r>
    </w:p>
    <w:p w14:paraId="0962FCB0" w14:textId="77777777" w:rsidR="0086452B" w:rsidRPr="001D6412" w:rsidRDefault="0086452B" w:rsidP="0086452B">
      <w:pPr>
        <w:spacing w:after="0"/>
        <w:ind w:left="1980"/>
        <w:rPr>
          <w:color w:val="000000"/>
          <w:spacing w:val="-4"/>
        </w:rPr>
      </w:pPr>
      <w:r w:rsidRPr="001D6412">
        <w:rPr>
          <w:color w:val="000000"/>
          <w:spacing w:val="-4"/>
        </w:rPr>
        <w:t>Brownstein Hyatt Farber Schreck, L.L.P.</w:t>
      </w:r>
    </w:p>
    <w:p w14:paraId="3584A46F" w14:textId="77777777" w:rsidR="0086452B" w:rsidRPr="001D6412" w:rsidRDefault="0086452B" w:rsidP="0086452B">
      <w:pPr>
        <w:spacing w:after="0"/>
        <w:ind w:left="1980"/>
        <w:rPr>
          <w:color w:val="000000"/>
          <w:spacing w:val="-4"/>
        </w:rPr>
      </w:pPr>
      <w:r w:rsidRPr="001D6412">
        <w:rPr>
          <w:color w:val="000000"/>
          <w:spacing w:val="-4"/>
        </w:rPr>
        <w:t>Attn:</w:t>
      </w:r>
      <w:r w:rsidRPr="001D6412">
        <w:rPr>
          <w:color w:val="000000"/>
          <w:spacing w:val="-4"/>
        </w:rPr>
        <w:tab/>
      </w:r>
      <w:proofErr w:type="spellStart"/>
      <w:r w:rsidRPr="001D6412">
        <w:rPr>
          <w:color w:val="000000"/>
          <w:spacing w:val="-4"/>
        </w:rPr>
        <w:t>Carolynne</w:t>
      </w:r>
      <w:proofErr w:type="spellEnd"/>
      <w:r w:rsidRPr="001D6412">
        <w:rPr>
          <w:color w:val="000000"/>
          <w:spacing w:val="-4"/>
        </w:rPr>
        <w:t xml:space="preserve"> C. White, Esq.</w:t>
      </w:r>
    </w:p>
    <w:p w14:paraId="3CA50E84" w14:textId="77777777" w:rsidR="0086452B" w:rsidRPr="001D6412" w:rsidRDefault="0086452B" w:rsidP="0086452B">
      <w:pPr>
        <w:spacing w:after="0"/>
        <w:ind w:left="1980"/>
        <w:rPr>
          <w:color w:val="000000"/>
          <w:spacing w:val="-4"/>
        </w:rPr>
      </w:pPr>
      <w:r w:rsidRPr="001D6412">
        <w:rPr>
          <w:color w:val="000000"/>
          <w:spacing w:val="-4"/>
        </w:rPr>
        <w:t>410 Seventeenth Street, Suite 2200</w:t>
      </w:r>
    </w:p>
    <w:p w14:paraId="232AAFC7" w14:textId="77777777" w:rsidR="0086452B" w:rsidRPr="001D6412" w:rsidRDefault="0086452B" w:rsidP="0086452B">
      <w:pPr>
        <w:spacing w:after="0"/>
        <w:ind w:left="1980"/>
        <w:rPr>
          <w:color w:val="000000"/>
          <w:spacing w:val="-4"/>
        </w:rPr>
      </w:pPr>
      <w:r w:rsidRPr="001D6412">
        <w:rPr>
          <w:color w:val="000000"/>
          <w:spacing w:val="-4"/>
        </w:rPr>
        <w:t>Denver, CO 80202</w:t>
      </w:r>
    </w:p>
    <w:p w14:paraId="37A62642" w14:textId="77777777" w:rsidR="0086452B" w:rsidRPr="0034214E" w:rsidRDefault="0086452B" w:rsidP="0086452B">
      <w:pPr>
        <w:spacing w:after="0"/>
        <w:ind w:left="1980"/>
        <w:rPr>
          <w:color w:val="000000"/>
          <w:spacing w:val="-4"/>
        </w:rPr>
      </w:pPr>
      <w:r w:rsidRPr="001D6412">
        <w:rPr>
          <w:color w:val="000000"/>
          <w:spacing w:val="-4"/>
        </w:rPr>
        <w:t>E-mail:</w:t>
      </w:r>
      <w:r w:rsidRPr="001D6412">
        <w:rPr>
          <w:color w:val="000000"/>
          <w:spacing w:val="-4"/>
        </w:rPr>
        <w:tab/>
      </w:r>
      <w:hyperlink r:id="rId9" w:history="1">
        <w:r w:rsidRPr="000C4DA4">
          <w:rPr>
            <w:rStyle w:val="Hyperlink"/>
            <w:spacing w:val="-4"/>
          </w:rPr>
          <w:t>CWhite@BHFS.com</w:t>
        </w:r>
      </w:hyperlink>
      <w:r>
        <w:rPr>
          <w:color w:val="000000"/>
          <w:spacing w:val="-4"/>
        </w:rPr>
        <w:t xml:space="preserve">  </w:t>
      </w:r>
    </w:p>
    <w:p w14:paraId="7C1677F5" w14:textId="77777777" w:rsidR="0086452B" w:rsidRPr="0034214E" w:rsidRDefault="0086452B" w:rsidP="0086452B">
      <w:pPr>
        <w:spacing w:after="0"/>
        <w:ind w:left="1980"/>
        <w:rPr>
          <w:color w:val="000000"/>
          <w:spacing w:val="-4"/>
        </w:rPr>
      </w:pPr>
    </w:p>
    <w:p w14:paraId="0504E4DF" w14:textId="77777777" w:rsidR="0086452B" w:rsidRPr="0034214E" w:rsidRDefault="0086452B" w:rsidP="0086452B">
      <w:pPr>
        <w:pStyle w:val="Heading3"/>
        <w:spacing w:after="0"/>
      </w:pPr>
      <w:r w:rsidRPr="0034214E">
        <w:t>in the case of the Authority, is addressed to or delivered personally to the Authority as follows:</w:t>
      </w:r>
    </w:p>
    <w:p w14:paraId="27CD0406" w14:textId="77777777" w:rsidR="0086452B" w:rsidRPr="0034214E" w:rsidRDefault="0086452B" w:rsidP="0086452B">
      <w:pPr>
        <w:spacing w:after="0"/>
        <w:ind w:left="1980"/>
        <w:rPr>
          <w:color w:val="000000"/>
          <w:spacing w:val="-4"/>
        </w:rPr>
      </w:pPr>
    </w:p>
    <w:p w14:paraId="7F2018D1" w14:textId="77777777" w:rsidR="0086452B" w:rsidRPr="0034214E" w:rsidRDefault="0086452B" w:rsidP="0086452B">
      <w:pPr>
        <w:spacing w:after="0"/>
        <w:ind w:left="1980"/>
        <w:rPr>
          <w:color w:val="000000"/>
          <w:spacing w:val="-4"/>
        </w:rPr>
      </w:pPr>
      <w:r w:rsidRPr="0034214E">
        <w:rPr>
          <w:color w:val="000000"/>
          <w:spacing w:val="-4"/>
        </w:rPr>
        <w:t xml:space="preserve">Colorado Springs Urban Renewal Authority </w:t>
      </w:r>
    </w:p>
    <w:p w14:paraId="0D650470" w14:textId="77777777" w:rsidR="0086452B" w:rsidRPr="0034214E" w:rsidRDefault="0086452B" w:rsidP="0086452B">
      <w:pPr>
        <w:spacing w:after="0"/>
        <w:ind w:left="1980"/>
        <w:rPr>
          <w:color w:val="000000"/>
          <w:spacing w:val="-4"/>
        </w:rPr>
      </w:pPr>
      <w:r w:rsidRPr="0034214E">
        <w:rPr>
          <w:color w:val="000000"/>
          <w:spacing w:val="-4"/>
        </w:rPr>
        <w:t xml:space="preserve">P.O. Box 1575, MC </w:t>
      </w:r>
      <w:r>
        <w:rPr>
          <w:color w:val="000000"/>
          <w:spacing w:val="-4"/>
        </w:rPr>
        <w:t>640</w:t>
      </w:r>
    </w:p>
    <w:p w14:paraId="7767EF90" w14:textId="77777777" w:rsidR="0086452B" w:rsidRDefault="0086452B" w:rsidP="0086452B">
      <w:pPr>
        <w:spacing w:after="0"/>
        <w:ind w:left="1980"/>
        <w:rPr>
          <w:color w:val="000000"/>
          <w:spacing w:val="-4"/>
        </w:rPr>
      </w:pPr>
      <w:r w:rsidRPr="0034214E">
        <w:rPr>
          <w:color w:val="000000"/>
          <w:spacing w:val="-4"/>
        </w:rPr>
        <w:t>Colorado Springs, CO 80901-1579</w:t>
      </w:r>
    </w:p>
    <w:p w14:paraId="695E4DF6" w14:textId="77777777" w:rsidR="0086452B" w:rsidRPr="000B6B29" w:rsidRDefault="0086452B" w:rsidP="0086452B">
      <w:pPr>
        <w:spacing w:after="0"/>
        <w:ind w:left="1980"/>
        <w:rPr>
          <w:color w:val="000000"/>
          <w:spacing w:val="-4"/>
        </w:rPr>
      </w:pPr>
      <w:r w:rsidRPr="000B6B29">
        <w:rPr>
          <w:color w:val="000000"/>
          <w:spacing w:val="-4"/>
        </w:rPr>
        <w:t>Attn:</w:t>
      </w:r>
      <w:r w:rsidRPr="000B6B29">
        <w:rPr>
          <w:color w:val="000000"/>
          <w:spacing w:val="-4"/>
        </w:rPr>
        <w:tab/>
        <w:t>Executive Director</w:t>
      </w:r>
    </w:p>
    <w:p w14:paraId="61E1D0E0" w14:textId="77777777" w:rsidR="0086452B" w:rsidRPr="0034214E" w:rsidRDefault="0086452B" w:rsidP="0086452B">
      <w:pPr>
        <w:spacing w:after="0"/>
        <w:ind w:left="1980"/>
        <w:rPr>
          <w:color w:val="000000"/>
          <w:spacing w:val="-4"/>
        </w:rPr>
      </w:pPr>
      <w:r w:rsidRPr="000B6B29">
        <w:rPr>
          <w:color w:val="000000"/>
          <w:spacing w:val="-4"/>
        </w:rPr>
        <w:t>E-mail:</w:t>
      </w:r>
      <w:r w:rsidRPr="000B6B29">
        <w:rPr>
          <w:color w:val="000000"/>
          <w:spacing w:val="-4"/>
        </w:rPr>
        <w:tab/>
      </w:r>
      <w:hyperlink r:id="rId10" w:history="1">
        <w:r w:rsidRPr="00BD4E7A">
          <w:rPr>
            <w:rStyle w:val="Hyperlink"/>
            <w:spacing w:val="-4"/>
          </w:rPr>
          <w:t>jwalker@springsgov.com</w:t>
        </w:r>
      </w:hyperlink>
      <w:r>
        <w:rPr>
          <w:color w:val="000000"/>
          <w:spacing w:val="-4"/>
        </w:rPr>
        <w:t xml:space="preserve"> </w:t>
      </w:r>
    </w:p>
    <w:p w14:paraId="2F16FA8B" w14:textId="77777777" w:rsidR="0086452B" w:rsidRPr="0034214E" w:rsidRDefault="0086452B" w:rsidP="0086452B">
      <w:pPr>
        <w:spacing w:after="0"/>
        <w:ind w:left="1980"/>
        <w:rPr>
          <w:color w:val="000000"/>
          <w:spacing w:val="-4"/>
        </w:rPr>
      </w:pPr>
    </w:p>
    <w:p w14:paraId="1F965FD2" w14:textId="77777777" w:rsidR="0086452B" w:rsidRPr="0034214E" w:rsidRDefault="0086452B" w:rsidP="0086452B">
      <w:pPr>
        <w:spacing w:after="0"/>
        <w:ind w:left="1980"/>
        <w:rPr>
          <w:color w:val="000000"/>
          <w:spacing w:val="-4"/>
        </w:rPr>
      </w:pPr>
      <w:r w:rsidRPr="0034214E">
        <w:rPr>
          <w:color w:val="000000"/>
          <w:spacing w:val="-4"/>
        </w:rPr>
        <w:t>with a copy to:</w:t>
      </w:r>
    </w:p>
    <w:p w14:paraId="66E6AD0A" w14:textId="77777777" w:rsidR="0086452B" w:rsidRPr="0034214E" w:rsidRDefault="0086452B" w:rsidP="0086452B">
      <w:pPr>
        <w:spacing w:after="0"/>
        <w:ind w:left="1980"/>
        <w:rPr>
          <w:color w:val="000000"/>
          <w:spacing w:val="-4"/>
        </w:rPr>
      </w:pPr>
    </w:p>
    <w:p w14:paraId="3A8949DA" w14:textId="77777777" w:rsidR="0086452B" w:rsidRPr="0034214E" w:rsidRDefault="0086452B" w:rsidP="0086452B">
      <w:pPr>
        <w:spacing w:after="0"/>
        <w:ind w:left="1980"/>
        <w:rPr>
          <w:color w:val="000000"/>
          <w:spacing w:val="-4"/>
        </w:rPr>
      </w:pPr>
      <w:r w:rsidRPr="0034214E">
        <w:rPr>
          <w:color w:val="000000"/>
          <w:spacing w:val="-4"/>
        </w:rPr>
        <w:t xml:space="preserve">Kraemer Kendall Rupp </w:t>
      </w:r>
      <w:proofErr w:type="spellStart"/>
      <w:r w:rsidRPr="0034214E">
        <w:rPr>
          <w:color w:val="000000"/>
          <w:spacing w:val="-4"/>
        </w:rPr>
        <w:t>Deen</w:t>
      </w:r>
      <w:proofErr w:type="spellEnd"/>
      <w:r w:rsidRPr="0034214E">
        <w:rPr>
          <w:color w:val="000000"/>
          <w:spacing w:val="-4"/>
        </w:rPr>
        <w:t xml:space="preserve"> Neville LLC</w:t>
      </w:r>
    </w:p>
    <w:p w14:paraId="3FE2F548" w14:textId="77777777" w:rsidR="0086452B" w:rsidRPr="0034214E" w:rsidRDefault="0086452B" w:rsidP="0086452B">
      <w:pPr>
        <w:spacing w:after="0"/>
        <w:ind w:left="1980"/>
        <w:rPr>
          <w:color w:val="000000"/>
          <w:spacing w:val="-4"/>
        </w:rPr>
      </w:pPr>
      <w:r w:rsidRPr="0034214E">
        <w:rPr>
          <w:color w:val="000000"/>
          <w:spacing w:val="-4"/>
        </w:rPr>
        <w:t>Attn:</w:t>
      </w:r>
      <w:r w:rsidRPr="0034214E">
        <w:rPr>
          <w:color w:val="000000"/>
          <w:spacing w:val="-4"/>
        </w:rPr>
        <w:tab/>
        <w:t>David M. Neville, Esq.</w:t>
      </w:r>
    </w:p>
    <w:p w14:paraId="00E890C5" w14:textId="77777777" w:rsidR="0086452B" w:rsidRPr="0034214E" w:rsidRDefault="0086452B" w:rsidP="0086452B">
      <w:pPr>
        <w:spacing w:after="0"/>
        <w:ind w:left="1980"/>
        <w:rPr>
          <w:color w:val="000000"/>
          <w:spacing w:val="-4"/>
        </w:rPr>
      </w:pPr>
      <w:r w:rsidRPr="0034214E">
        <w:rPr>
          <w:color w:val="000000"/>
          <w:spacing w:val="-4"/>
        </w:rPr>
        <w:t>430 N. Tejon, Suite 300</w:t>
      </w:r>
    </w:p>
    <w:p w14:paraId="75067F39" w14:textId="77777777" w:rsidR="0086452B" w:rsidRDefault="0086452B" w:rsidP="0086452B">
      <w:pPr>
        <w:spacing w:after="0"/>
        <w:ind w:left="1980"/>
        <w:rPr>
          <w:color w:val="000000"/>
          <w:spacing w:val="-4"/>
        </w:rPr>
      </w:pPr>
      <w:r w:rsidRPr="0034214E">
        <w:rPr>
          <w:color w:val="000000"/>
          <w:spacing w:val="-4"/>
        </w:rPr>
        <w:t>Colorado Springs, CO 80903</w:t>
      </w:r>
    </w:p>
    <w:p w14:paraId="154BAD9D" w14:textId="77777777" w:rsidR="0086452B" w:rsidRDefault="0086452B" w:rsidP="0086452B">
      <w:pPr>
        <w:spacing w:after="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dneville@k2blaw.com</w:t>
        </w:r>
      </w:hyperlink>
      <w:r>
        <w:rPr>
          <w:color w:val="000000"/>
          <w:spacing w:val="-4"/>
        </w:rPr>
        <w:t xml:space="preserve"> </w:t>
      </w:r>
    </w:p>
    <w:p w14:paraId="13502173" w14:textId="77777777" w:rsidR="0086452B" w:rsidRDefault="0086452B" w:rsidP="0086452B">
      <w:pPr>
        <w:spacing w:after="0"/>
        <w:ind w:left="1980"/>
        <w:rPr>
          <w:color w:val="000000"/>
          <w:spacing w:val="-4"/>
        </w:rPr>
      </w:pPr>
    </w:p>
    <w:p w14:paraId="04200236" w14:textId="77777777" w:rsidR="0086452B" w:rsidRDefault="0086452B" w:rsidP="0086452B">
      <w:pPr>
        <w:pStyle w:val="Heading3"/>
      </w:pPr>
      <w:r>
        <w:t>in the case of the BID, is addressed to or delivered personally to the BID as follows:</w:t>
      </w:r>
    </w:p>
    <w:p w14:paraId="0609979E" w14:textId="007D08CC" w:rsidR="004544BC" w:rsidRPr="0034214E" w:rsidRDefault="004544BC" w:rsidP="004544BC">
      <w:pPr>
        <w:spacing w:after="0"/>
        <w:ind w:left="1980"/>
        <w:rPr>
          <w:color w:val="000000"/>
          <w:spacing w:val="-4"/>
        </w:rPr>
      </w:pPr>
      <w:r w:rsidRPr="004544BC">
        <w:rPr>
          <w:color w:val="000000"/>
          <w:spacing w:val="-4"/>
        </w:rPr>
        <w:t>SW Downtown Business Improvement District</w:t>
      </w:r>
    </w:p>
    <w:p w14:paraId="49F1512B" w14:textId="77777777" w:rsidR="00E6492B" w:rsidRPr="00E6492B" w:rsidRDefault="004544BC" w:rsidP="00E6492B">
      <w:pPr>
        <w:spacing w:after="0"/>
        <w:ind w:left="1980"/>
        <w:rPr>
          <w:color w:val="000000"/>
          <w:spacing w:val="-4"/>
        </w:rPr>
      </w:pPr>
      <w:r w:rsidRPr="0034214E">
        <w:rPr>
          <w:color w:val="000000"/>
          <w:spacing w:val="-4"/>
        </w:rPr>
        <w:t>Attn:</w:t>
      </w:r>
      <w:r w:rsidRPr="0034214E">
        <w:rPr>
          <w:color w:val="000000"/>
          <w:spacing w:val="-4"/>
        </w:rPr>
        <w:tab/>
      </w:r>
      <w:r w:rsidR="00E6492B" w:rsidRPr="00E6492B">
        <w:rPr>
          <w:color w:val="000000"/>
          <w:spacing w:val="-4"/>
        </w:rPr>
        <w:t>Christopher S. Jenkins</w:t>
      </w:r>
    </w:p>
    <w:p w14:paraId="49C3BEC1" w14:textId="77777777" w:rsidR="00E6492B" w:rsidRPr="00E6492B" w:rsidRDefault="00E6492B" w:rsidP="00E6492B">
      <w:pPr>
        <w:spacing w:after="0"/>
        <w:ind w:left="1980"/>
        <w:rPr>
          <w:color w:val="000000"/>
          <w:spacing w:val="-4"/>
        </w:rPr>
      </w:pPr>
      <w:r w:rsidRPr="00E6492B">
        <w:rPr>
          <w:color w:val="000000"/>
          <w:spacing w:val="-4"/>
        </w:rPr>
        <w:t>111 South Tejon Street, Suite 222</w:t>
      </w:r>
    </w:p>
    <w:p w14:paraId="7579CDAC" w14:textId="77777777" w:rsidR="00E6492B" w:rsidRPr="00E6492B" w:rsidRDefault="00E6492B" w:rsidP="00E6492B">
      <w:pPr>
        <w:spacing w:after="0"/>
        <w:ind w:left="1980"/>
        <w:rPr>
          <w:color w:val="000000"/>
          <w:spacing w:val="-4"/>
        </w:rPr>
      </w:pPr>
      <w:r w:rsidRPr="00E6492B">
        <w:rPr>
          <w:color w:val="000000"/>
          <w:spacing w:val="-4"/>
        </w:rPr>
        <w:t>Colorado Springs, CO 80903</w:t>
      </w:r>
    </w:p>
    <w:p w14:paraId="26B4842D" w14:textId="7148BD5C" w:rsidR="004544BC" w:rsidRDefault="00E6492B" w:rsidP="004544BC">
      <w:pPr>
        <w:spacing w:after="0"/>
        <w:ind w:left="1980"/>
        <w:rPr>
          <w:color w:val="000000"/>
          <w:spacing w:val="-4"/>
        </w:rPr>
      </w:pPr>
      <w:r w:rsidRPr="00E6492B">
        <w:rPr>
          <w:color w:val="000000"/>
          <w:spacing w:val="-4"/>
        </w:rPr>
        <w:t>Email:</w:t>
      </w:r>
      <w:r w:rsidRPr="00E6492B">
        <w:rPr>
          <w:color w:val="000000"/>
          <w:spacing w:val="-4"/>
        </w:rPr>
        <w:tab/>
      </w:r>
      <w:hyperlink r:id="rId12" w:history="1">
        <w:r w:rsidRPr="00A54F70">
          <w:rPr>
            <w:rStyle w:val="Hyperlink"/>
            <w:spacing w:val="-4"/>
          </w:rPr>
          <w:t>chrisjenkins@nor-wood.com</w:t>
        </w:r>
      </w:hyperlink>
      <w:r>
        <w:rPr>
          <w:color w:val="000000"/>
          <w:spacing w:val="-4"/>
        </w:rPr>
        <w:t xml:space="preserve"> </w:t>
      </w:r>
    </w:p>
    <w:p w14:paraId="0197E4EE" w14:textId="3B361F94" w:rsidR="00C457C5" w:rsidRDefault="00C457C5" w:rsidP="004544BC">
      <w:pPr>
        <w:spacing w:after="0"/>
        <w:ind w:left="1980"/>
        <w:rPr>
          <w:color w:val="000000"/>
          <w:spacing w:val="-4"/>
        </w:rPr>
      </w:pPr>
    </w:p>
    <w:p w14:paraId="45E8D49E" w14:textId="464F3B20" w:rsidR="00C457C5" w:rsidRDefault="00C457C5" w:rsidP="00C457C5">
      <w:pPr>
        <w:spacing w:after="0"/>
        <w:ind w:left="1980"/>
        <w:rPr>
          <w:color w:val="000000"/>
          <w:spacing w:val="-4"/>
        </w:rPr>
      </w:pPr>
      <w:r w:rsidRPr="00C457C5">
        <w:rPr>
          <w:color w:val="000000"/>
          <w:spacing w:val="-4"/>
        </w:rPr>
        <w:t>with a copy to:</w:t>
      </w:r>
    </w:p>
    <w:p w14:paraId="689C118A" w14:textId="77777777" w:rsidR="00C457C5" w:rsidRDefault="00C457C5" w:rsidP="00C457C5">
      <w:pPr>
        <w:spacing w:after="0"/>
        <w:ind w:left="1980"/>
        <w:rPr>
          <w:color w:val="000000"/>
          <w:spacing w:val="-4"/>
        </w:rPr>
      </w:pPr>
    </w:p>
    <w:p w14:paraId="7CE78834" w14:textId="1E34685F" w:rsidR="0086452B" w:rsidRDefault="0086452B" w:rsidP="00C457C5">
      <w:pPr>
        <w:spacing w:after="0"/>
        <w:ind w:left="1980"/>
      </w:pPr>
      <w:r>
        <w:t>Spencer Fane, LLP</w:t>
      </w:r>
    </w:p>
    <w:p w14:paraId="59613424" w14:textId="441EB0C1" w:rsidR="0086452B" w:rsidRDefault="0086452B" w:rsidP="00C457C5">
      <w:pPr>
        <w:spacing w:after="0"/>
        <w:ind w:left="1980"/>
      </w:pPr>
      <w:r>
        <w:t>Attn:  Russ Dykstra, Esq.</w:t>
      </w:r>
      <w:r w:rsidRPr="00A550C1">
        <w:t xml:space="preserve"> </w:t>
      </w:r>
    </w:p>
    <w:p w14:paraId="011A2FA9" w14:textId="77777777" w:rsidR="0086452B" w:rsidRDefault="0086452B" w:rsidP="00C457C5">
      <w:pPr>
        <w:spacing w:after="0"/>
        <w:ind w:left="1980"/>
      </w:pPr>
      <w:r>
        <w:t>1700 Lincoln Street</w:t>
      </w:r>
    </w:p>
    <w:p w14:paraId="64A30D0E" w14:textId="77777777" w:rsidR="0086452B" w:rsidRDefault="0086452B" w:rsidP="00C457C5">
      <w:pPr>
        <w:spacing w:after="0"/>
        <w:ind w:left="1980"/>
      </w:pPr>
      <w:r>
        <w:t xml:space="preserve">Suite 2000, </w:t>
      </w:r>
      <w:proofErr w:type="gramStart"/>
      <w:r>
        <w:t>Denver  CO</w:t>
      </w:r>
      <w:proofErr w:type="gramEnd"/>
      <w:r>
        <w:t xml:space="preserve"> 80203</w:t>
      </w:r>
    </w:p>
    <w:p w14:paraId="5E38C7CC" w14:textId="43DC1589" w:rsidR="0086452B" w:rsidRDefault="0086452B" w:rsidP="00C457C5">
      <w:pPr>
        <w:spacing w:after="0"/>
        <w:ind w:left="1980"/>
      </w:pPr>
      <w:r>
        <w:t xml:space="preserve">E-mail:  </w:t>
      </w:r>
      <w:hyperlink r:id="rId13" w:history="1">
        <w:r w:rsidRPr="00C61B13">
          <w:rPr>
            <w:rStyle w:val="Hyperlink"/>
          </w:rPr>
          <w:t>rdykstra@spencerfane.com</w:t>
        </w:r>
      </w:hyperlink>
      <w:r>
        <w:t xml:space="preserve"> </w:t>
      </w:r>
    </w:p>
    <w:p w14:paraId="6D32F9B1" w14:textId="77777777" w:rsidR="00C457C5" w:rsidRDefault="00C457C5" w:rsidP="00C457C5">
      <w:pPr>
        <w:spacing w:after="0"/>
        <w:ind w:left="1980"/>
      </w:pPr>
    </w:p>
    <w:p w14:paraId="76EA93ED" w14:textId="42AB6204" w:rsidR="0086452B" w:rsidRPr="0034214E" w:rsidRDefault="0086452B" w:rsidP="0086452B">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039EA7A" w14:textId="77777777" w:rsidR="0086452B" w:rsidRPr="0034214E" w:rsidRDefault="0086452B" w:rsidP="0086452B">
      <w:pPr>
        <w:pStyle w:val="Heading2"/>
      </w:pPr>
      <w:r w:rsidRPr="0034214E">
        <w:rPr>
          <w:u w:val="single"/>
        </w:rPr>
        <w:t>Good Faith of Parties</w:t>
      </w:r>
      <w:r w:rsidRPr="00C457C5">
        <w:t xml:space="preserve">.  </w:t>
      </w:r>
      <w:r w:rsidRPr="0034214E">
        <w:t>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68E51C11" w14:textId="77777777" w:rsidR="0086452B" w:rsidRPr="0034214E" w:rsidRDefault="0086452B" w:rsidP="0086452B">
      <w:pPr>
        <w:pStyle w:val="Heading2"/>
      </w:pPr>
      <w:r w:rsidRPr="0034214E">
        <w:rPr>
          <w:u w:val="single"/>
        </w:rPr>
        <w:t>Days</w:t>
      </w:r>
      <w:r w:rsidRPr="00C457C5">
        <w:t xml:space="preserve">.  </w:t>
      </w:r>
      <w:r w:rsidRPr="0034214E">
        <w:t>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38729889" w14:textId="77777777" w:rsidR="0086452B" w:rsidRPr="0034214E" w:rsidRDefault="0086452B" w:rsidP="0086452B">
      <w:pPr>
        <w:pStyle w:val="Heading2"/>
      </w:pPr>
      <w:r w:rsidRPr="0034214E">
        <w:rPr>
          <w:u w:val="single"/>
        </w:rPr>
        <w:t>Further Assurances</w:t>
      </w:r>
      <w:r w:rsidRPr="00C457C5">
        <w:t xml:space="preserve">.  </w:t>
      </w:r>
      <w:r w:rsidRPr="0034214E">
        <w:t>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and supplementing or clarifying Reimbursable Project Costs.</w:t>
      </w:r>
    </w:p>
    <w:p w14:paraId="1F5289E0" w14:textId="77777777" w:rsidR="0086452B" w:rsidRPr="0034214E" w:rsidRDefault="0086452B" w:rsidP="0086452B">
      <w:pPr>
        <w:pStyle w:val="Heading2"/>
      </w:pPr>
      <w:r w:rsidRPr="0034214E">
        <w:rPr>
          <w:u w:val="single"/>
        </w:rPr>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3C802281" w14:textId="77777777" w:rsidR="0086452B" w:rsidRPr="0034214E" w:rsidRDefault="0086452B" w:rsidP="0086452B">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1AB87752" w14:textId="0B213747" w:rsidR="0086452B" w:rsidRPr="0034214E" w:rsidRDefault="0086452B" w:rsidP="0086452B">
      <w:pPr>
        <w:pStyle w:val="Heading2"/>
      </w:pPr>
      <w:r w:rsidRPr="0034214E">
        <w:rPr>
          <w:u w:val="single"/>
        </w:rPr>
        <w:t>Non-Liability of Certain Officials, Employees and Individuals</w:t>
      </w:r>
      <w:r w:rsidRPr="0034214E">
        <w:t>.  Except for willful and wanton actions, no City Council member, Authority Board member, official, attorney for the Authority or City Attorney, or employee o</w:t>
      </w:r>
      <w:r w:rsidR="009A73F3">
        <w:t>f</w:t>
      </w:r>
      <w:r w:rsidRPr="0034214E">
        <w:t xml:space="preserve"> the Authority or the City shall be personally liable to the Developer </w:t>
      </w:r>
      <w:r w:rsidR="009A73F3">
        <w:t xml:space="preserve">or the BID </w:t>
      </w:r>
      <w:r w:rsidRPr="0034214E">
        <w:t xml:space="preserve">for any Event of Default by the Authority or for any amount that may become due to the Developer </w:t>
      </w:r>
      <w:r w:rsidR="009A73F3">
        <w:t xml:space="preserve">or the BID </w:t>
      </w:r>
      <w:r w:rsidRPr="0034214E">
        <w:t>under the terms of this Agreement.  Nothing in this Section 1</w:t>
      </w:r>
      <w:r w:rsidR="00C457C5">
        <w:t>4</w:t>
      </w:r>
      <w:r w:rsidRPr="0034214E">
        <w:t xml:space="preserve">.15 or this Agreement is to be construed as a waiver of any limitations upon or immunity from suits against the City, the Authority, </w:t>
      </w:r>
      <w:r>
        <w:t xml:space="preserve">the BID, </w:t>
      </w:r>
      <w:r w:rsidRPr="0034214E">
        <w:t>or City</w:t>
      </w:r>
      <w:r>
        <w:t>,</w:t>
      </w:r>
      <w:r w:rsidRPr="0034214E">
        <w:t xml:space="preserve"> Authority </w:t>
      </w:r>
      <w:r>
        <w:t xml:space="preserve">or BID </w:t>
      </w:r>
      <w:r w:rsidRPr="0034214E">
        <w:t>Board or Council members, officials, above-named agents or employees of the Authority</w:t>
      </w:r>
      <w:r>
        <w:t>, BID</w:t>
      </w:r>
      <w:r w:rsidRPr="0034214E">
        <w:t xml:space="preserve">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w:t>
      </w:r>
      <w:r w:rsidRPr="0034214E">
        <w:lastRenderedPageBreak/>
        <w:t>to limit the liability of any individual, member, manager or transferees who become personal signatories to this Agreement, or any modification thereof.</w:t>
      </w:r>
    </w:p>
    <w:p w14:paraId="31C65111" w14:textId="77777777" w:rsidR="0086452B" w:rsidRPr="0034214E" w:rsidRDefault="0086452B" w:rsidP="0086452B">
      <w:pPr>
        <w:pStyle w:val="Heading2"/>
      </w:pPr>
      <w:r w:rsidRPr="0034214E">
        <w:rPr>
          <w:u w:val="single"/>
        </w:rPr>
        <w:t>Agreement Jointly Drafted</w:t>
      </w:r>
      <w:r w:rsidRPr="0034214E">
        <w:t>.  The Agreement shall be construed as if jointly drafted by the Parties.</w:t>
      </w:r>
    </w:p>
    <w:p w14:paraId="25C7D813" w14:textId="35FE3DF6" w:rsidR="0086452B" w:rsidRPr="0034214E" w:rsidRDefault="0086452B" w:rsidP="0086452B">
      <w:pPr>
        <w:pStyle w:val="Heading2"/>
      </w:pPr>
      <w:r w:rsidRPr="0034214E">
        <w:rPr>
          <w:u w:val="single"/>
        </w:rPr>
        <w:t>Authority Not A Partner; Developer Not Authority’s Agent</w:t>
      </w:r>
      <w:r w:rsidRPr="0034214E">
        <w:t xml:space="preserve">.  </w:t>
      </w:r>
      <w:r w:rsidR="00961846" w:rsidRPr="00961846">
        <w:t xml:space="preserve">Notwithstanding any language in this Agreement or any other agreement, representation or warranty to the contrary, the Authority shall not be deemed or constituted a partner or joint </w:t>
      </w:r>
      <w:proofErr w:type="spellStart"/>
      <w:r w:rsidR="00961846" w:rsidRPr="00961846">
        <w:t>venturer</w:t>
      </w:r>
      <w:proofErr w:type="spellEnd"/>
      <w:r w:rsidR="00961846" w:rsidRPr="00961846">
        <w:t xml:space="preserve"> of the Developer or the </w:t>
      </w:r>
      <w:r w:rsidR="00961846">
        <w:t>BID</w:t>
      </w:r>
      <w:r w:rsidR="00961846" w:rsidRPr="00961846">
        <w:t xml:space="preserve">, the Developer shall not be the agent of the Authority or the </w:t>
      </w:r>
      <w:r w:rsidR="00961846">
        <w:t>BID</w:t>
      </w:r>
      <w:r w:rsidR="00961846" w:rsidRPr="00961846">
        <w:t xml:space="preserve">, neither the Authority nor the </w:t>
      </w:r>
      <w:r w:rsidR="00961846">
        <w:t>BID</w:t>
      </w:r>
      <w:r w:rsidR="00961846" w:rsidRPr="00961846">
        <w:t xml:space="preserve"> shall be responsible for any debt or liability of the Developer and neither the Authority nor the </w:t>
      </w:r>
      <w:r w:rsidR="00961846">
        <w:t>BID</w:t>
      </w:r>
      <w:r w:rsidR="00961846" w:rsidRPr="00961846">
        <w:t xml:space="preserve"> shall be responsible for any debt or liability of the other Party.</w:t>
      </w:r>
    </w:p>
    <w:p w14:paraId="7EB9280A" w14:textId="77777777" w:rsidR="0086452B" w:rsidRPr="0034214E" w:rsidRDefault="0086452B" w:rsidP="0086452B">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such prohibition, unenforceability or </w:t>
      </w:r>
      <w:proofErr w:type="spellStart"/>
      <w:r w:rsidRPr="0034214E">
        <w:t>nonauthorization</w:t>
      </w:r>
      <w:proofErr w:type="spellEnd"/>
      <w:r w:rsidRPr="0034214E">
        <w:t xml:space="preserve">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042115A" w14:textId="77777777" w:rsidR="0086452B" w:rsidRPr="0034214E" w:rsidRDefault="0086452B" w:rsidP="0086452B">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0A613051" w14:textId="77777777" w:rsidR="0086452B" w:rsidRPr="0034214E" w:rsidRDefault="0086452B" w:rsidP="0086452B">
      <w:pPr>
        <w:ind w:firstLine="0"/>
        <w:jc w:val="center"/>
      </w:pPr>
      <w:r w:rsidRPr="0034214E">
        <w:t>[Remainder of page intentionally left blank]</w:t>
      </w:r>
    </w:p>
    <w:p w14:paraId="4D8746AD" w14:textId="77777777" w:rsidR="0086452B" w:rsidRPr="0034214E" w:rsidRDefault="0086452B" w:rsidP="0086452B"/>
    <w:p w14:paraId="59AF3DFA" w14:textId="77777777" w:rsidR="0086452B" w:rsidRPr="0034214E" w:rsidRDefault="0086452B" w:rsidP="0086452B">
      <w:pPr>
        <w:sectPr w:rsidR="0086452B" w:rsidRPr="0034214E" w:rsidSect="0086452B">
          <w:footerReference w:type="default" r:id="rId14"/>
          <w:headerReference w:type="first" r:id="rId15"/>
          <w:pgSz w:w="12240" w:h="15840" w:code="1"/>
          <w:pgMar w:top="1440" w:right="1440" w:bottom="1440" w:left="1440" w:header="720" w:footer="720" w:gutter="0"/>
          <w:cols w:space="720"/>
          <w:titlePg/>
        </w:sectPr>
      </w:pPr>
    </w:p>
    <w:p w14:paraId="32E98593" w14:textId="77777777" w:rsidR="0086452B" w:rsidRPr="0034214E" w:rsidRDefault="0086452B" w:rsidP="0086452B">
      <w:r w:rsidRPr="0034214E">
        <w:lastRenderedPageBreak/>
        <w:t>IN WITNESS WHEREOF, the Authority and the Developer have caused this Agreement to be duly executed as of the day</w:t>
      </w:r>
      <w:r w:rsidRPr="0034214E">
        <w:rPr>
          <w:b/>
        </w:rPr>
        <w:t xml:space="preserve"> </w:t>
      </w:r>
      <w:r w:rsidRPr="0034214E">
        <w:t>first above written.</w:t>
      </w:r>
    </w:p>
    <w:p w14:paraId="43B62581" w14:textId="77777777" w:rsidR="0086452B" w:rsidRPr="0034214E" w:rsidRDefault="0086452B" w:rsidP="0086452B">
      <w:pPr>
        <w:spacing w:after="0"/>
        <w:rPr>
          <w:color w:val="000000"/>
          <w:spacing w:val="-4"/>
        </w:rPr>
      </w:pPr>
    </w:p>
    <w:p w14:paraId="3DC99C2E" w14:textId="77777777" w:rsidR="0086452B" w:rsidRPr="0034214E" w:rsidRDefault="0086452B" w:rsidP="0086452B">
      <w:pPr>
        <w:spacing w:after="0"/>
        <w:ind w:left="4320" w:firstLine="0"/>
        <w:rPr>
          <w:color w:val="000000"/>
          <w:spacing w:val="-4"/>
        </w:rPr>
      </w:pPr>
      <w:r w:rsidRPr="0034214E">
        <w:rPr>
          <w:color w:val="000000"/>
          <w:spacing w:val="-4"/>
        </w:rPr>
        <w:t xml:space="preserve">COLORADO SPRINGS URBAN RENEWAL AUTHORITY </w:t>
      </w:r>
    </w:p>
    <w:p w14:paraId="7A797423" w14:textId="77777777" w:rsidR="0086452B" w:rsidRPr="0034214E" w:rsidRDefault="0086452B" w:rsidP="0086452B">
      <w:pPr>
        <w:spacing w:after="0"/>
        <w:ind w:firstLine="0"/>
        <w:rPr>
          <w:color w:val="000000"/>
          <w:spacing w:val="-4"/>
        </w:rPr>
      </w:pPr>
      <w:r w:rsidRPr="0034214E">
        <w:rPr>
          <w:color w:val="000000"/>
          <w:spacing w:val="-4"/>
        </w:rPr>
        <w:tab/>
      </w:r>
      <w:r w:rsidRPr="0034214E">
        <w:rPr>
          <w:color w:val="000000"/>
          <w:spacing w:val="-4"/>
        </w:rPr>
        <w:tab/>
      </w:r>
      <w:r w:rsidRPr="0034214E">
        <w:rPr>
          <w:color w:val="000000"/>
          <w:spacing w:val="-4"/>
        </w:rPr>
        <w:tab/>
      </w:r>
    </w:p>
    <w:p w14:paraId="20696458" w14:textId="77777777" w:rsidR="0086452B" w:rsidRPr="0034214E" w:rsidRDefault="0086452B" w:rsidP="0086452B">
      <w:pPr>
        <w:spacing w:after="0"/>
        <w:ind w:firstLine="0"/>
        <w:rPr>
          <w:color w:val="000000"/>
          <w:spacing w:val="-4"/>
        </w:rPr>
      </w:pPr>
    </w:p>
    <w:p w14:paraId="063B40BD" w14:textId="77777777" w:rsidR="0086452B" w:rsidRPr="0034214E" w:rsidRDefault="0086452B" w:rsidP="0086452B">
      <w:pPr>
        <w:spacing w:after="0"/>
        <w:ind w:firstLine="0"/>
        <w:rPr>
          <w:color w:val="000000"/>
          <w:spacing w:val="-4"/>
        </w:rPr>
      </w:pPr>
    </w:p>
    <w:p w14:paraId="2A2F520D" w14:textId="77777777" w:rsidR="0086452B" w:rsidRPr="0034214E" w:rsidRDefault="0086452B" w:rsidP="0086452B">
      <w:pPr>
        <w:spacing w:after="0"/>
        <w:ind w:left="4320" w:firstLine="0"/>
        <w:rPr>
          <w:color w:val="000000"/>
          <w:spacing w:val="-4"/>
        </w:rPr>
      </w:pPr>
      <w:r w:rsidRPr="0034214E">
        <w:rPr>
          <w:color w:val="000000"/>
          <w:spacing w:val="-4"/>
        </w:rPr>
        <w:t>By:</w:t>
      </w:r>
      <w:r w:rsidRPr="0034214E">
        <w:rPr>
          <w:color w:val="000000"/>
          <w:spacing w:val="-4"/>
        </w:rPr>
        <w:tab/>
        <w:t>____________________________________</w:t>
      </w:r>
    </w:p>
    <w:p w14:paraId="746B89D2" w14:textId="77777777" w:rsidR="0086452B" w:rsidRPr="0034214E" w:rsidRDefault="0086452B" w:rsidP="0086452B">
      <w:pPr>
        <w:spacing w:after="0"/>
        <w:ind w:left="4320" w:firstLine="0"/>
        <w:rPr>
          <w:color w:val="000000"/>
          <w:spacing w:val="-4"/>
        </w:rPr>
      </w:pPr>
      <w:r w:rsidRPr="0034214E">
        <w:rPr>
          <w:color w:val="000000"/>
          <w:spacing w:val="-4"/>
        </w:rPr>
        <w:tab/>
      </w:r>
      <w:r>
        <w:rPr>
          <w:color w:val="000000"/>
          <w:spacing w:val="-4"/>
        </w:rPr>
        <w:t>Randle W. Case II</w:t>
      </w:r>
      <w:r w:rsidRPr="0034214E">
        <w:rPr>
          <w:color w:val="000000"/>
          <w:spacing w:val="-4"/>
        </w:rPr>
        <w:t>, Chair</w:t>
      </w:r>
    </w:p>
    <w:p w14:paraId="5C9339F8" w14:textId="77777777" w:rsidR="0086452B" w:rsidRPr="0034214E" w:rsidRDefault="0086452B" w:rsidP="0086452B">
      <w:pPr>
        <w:spacing w:after="0"/>
        <w:rPr>
          <w:color w:val="000000"/>
          <w:spacing w:val="-4"/>
        </w:rPr>
      </w:pPr>
    </w:p>
    <w:p w14:paraId="1723C287" w14:textId="77777777" w:rsidR="0086452B" w:rsidRPr="001D6412" w:rsidRDefault="0086452B" w:rsidP="0086452B">
      <w:pPr>
        <w:spacing w:after="0"/>
        <w:rPr>
          <w:color w:val="000000"/>
          <w:spacing w:val="-4"/>
        </w:rPr>
      </w:pPr>
      <w:r w:rsidRPr="001D6412">
        <w:rPr>
          <w:color w:val="000000"/>
          <w:spacing w:val="-4"/>
        </w:rPr>
        <w:t>ATTEST:</w:t>
      </w:r>
    </w:p>
    <w:p w14:paraId="51EA69F1" w14:textId="77777777" w:rsidR="0086452B" w:rsidRDefault="0086452B" w:rsidP="0086452B">
      <w:pPr>
        <w:spacing w:after="0"/>
        <w:rPr>
          <w:color w:val="000000"/>
          <w:spacing w:val="-4"/>
        </w:rPr>
      </w:pPr>
    </w:p>
    <w:p w14:paraId="28EF2588" w14:textId="77777777" w:rsidR="0086452B" w:rsidRPr="001D6412" w:rsidRDefault="0086452B" w:rsidP="0086452B">
      <w:pPr>
        <w:spacing w:after="0"/>
        <w:rPr>
          <w:color w:val="000000"/>
          <w:spacing w:val="-4"/>
        </w:rPr>
      </w:pPr>
    </w:p>
    <w:p w14:paraId="797FAA38" w14:textId="77777777" w:rsidR="0086452B" w:rsidRPr="001D6412" w:rsidRDefault="0086452B" w:rsidP="0086452B">
      <w:pPr>
        <w:spacing w:after="0"/>
        <w:rPr>
          <w:color w:val="000000"/>
          <w:spacing w:val="-4"/>
        </w:rPr>
      </w:pPr>
      <w:r>
        <w:rPr>
          <w:color w:val="000000"/>
          <w:spacing w:val="-4"/>
        </w:rPr>
        <w:t>_____________________________</w:t>
      </w:r>
    </w:p>
    <w:p w14:paraId="31B2220D" w14:textId="77777777" w:rsidR="0086452B" w:rsidRPr="0034214E" w:rsidRDefault="0086452B" w:rsidP="0086452B">
      <w:pPr>
        <w:spacing w:after="0"/>
        <w:rPr>
          <w:color w:val="000000"/>
          <w:spacing w:val="-4"/>
        </w:rPr>
      </w:pPr>
      <w:r w:rsidRPr="001D6412">
        <w:rPr>
          <w:color w:val="000000"/>
          <w:spacing w:val="-4"/>
        </w:rPr>
        <w:t>Jariah Walker, Secretary</w:t>
      </w:r>
    </w:p>
    <w:p w14:paraId="19D1225E" w14:textId="77777777" w:rsidR="0086452B" w:rsidRPr="0034214E" w:rsidRDefault="0086452B" w:rsidP="0086452B">
      <w:pPr>
        <w:spacing w:after="0"/>
        <w:rPr>
          <w:color w:val="000000"/>
          <w:spacing w:val="-4"/>
        </w:rPr>
      </w:pPr>
    </w:p>
    <w:p w14:paraId="07203B3B" w14:textId="77777777" w:rsidR="0086452B" w:rsidRPr="0034214E" w:rsidRDefault="0086452B" w:rsidP="0086452B">
      <w:pPr>
        <w:spacing w:after="0"/>
        <w:rPr>
          <w:color w:val="000000"/>
          <w:spacing w:val="-4"/>
        </w:rPr>
      </w:pPr>
    </w:p>
    <w:p w14:paraId="7A8CFA0E" w14:textId="77777777" w:rsidR="0086452B" w:rsidRPr="0034214E" w:rsidRDefault="0086452B" w:rsidP="0086452B">
      <w:pPr>
        <w:spacing w:after="0"/>
        <w:rPr>
          <w:color w:val="000000"/>
          <w:spacing w:val="-4"/>
        </w:rPr>
      </w:pPr>
      <w:r w:rsidRPr="0034214E">
        <w:rPr>
          <w:color w:val="000000"/>
          <w:spacing w:val="-4"/>
        </w:rPr>
        <w:tab/>
      </w:r>
    </w:p>
    <w:p w14:paraId="0D61F110" w14:textId="5CFA1A71" w:rsidR="0086452B" w:rsidRPr="0034214E" w:rsidRDefault="0086452B" w:rsidP="0086452B">
      <w:pPr>
        <w:spacing w:after="0"/>
        <w:ind w:left="4320" w:hanging="4320"/>
        <w:rPr>
          <w:color w:val="000000"/>
          <w:spacing w:val="-4"/>
        </w:rPr>
      </w:pPr>
      <w:r w:rsidRPr="0034214E">
        <w:rPr>
          <w:color w:val="000000"/>
          <w:spacing w:val="-4"/>
        </w:rPr>
        <w:tab/>
      </w:r>
      <w:r w:rsidR="00E6492B">
        <w:rPr>
          <w:color w:val="000000"/>
          <w:spacing w:val="-4"/>
        </w:rPr>
        <w:t>INTERURBAN DEVELOPMENT COMPANY, LLC</w:t>
      </w:r>
    </w:p>
    <w:p w14:paraId="01699D9A" w14:textId="77777777" w:rsidR="0086452B" w:rsidRPr="0034214E" w:rsidRDefault="0086452B" w:rsidP="0086452B">
      <w:pPr>
        <w:spacing w:after="0"/>
        <w:rPr>
          <w:color w:val="000000"/>
          <w:spacing w:val="-4"/>
        </w:rPr>
      </w:pPr>
    </w:p>
    <w:p w14:paraId="4BCFC58E" w14:textId="77777777" w:rsidR="0086452B" w:rsidRPr="0034214E" w:rsidRDefault="0086452B" w:rsidP="0086452B">
      <w:pPr>
        <w:spacing w:after="0"/>
        <w:rPr>
          <w:color w:val="000000"/>
          <w:spacing w:val="-4"/>
        </w:rPr>
      </w:pPr>
    </w:p>
    <w:p w14:paraId="7CDAC3A8" w14:textId="77777777" w:rsidR="0086452B" w:rsidRDefault="0086452B" w:rsidP="0086452B">
      <w:pPr>
        <w:spacing w:after="0"/>
        <w:ind w:left="8640" w:hanging="4320"/>
        <w:jc w:val="left"/>
        <w:rPr>
          <w:color w:val="000000"/>
          <w:spacing w:val="-4"/>
        </w:rPr>
      </w:pPr>
      <w:r w:rsidRPr="0034214E">
        <w:rPr>
          <w:color w:val="000000"/>
          <w:spacing w:val="-4"/>
        </w:rPr>
        <w:t xml:space="preserve">By: </w:t>
      </w:r>
      <w:r>
        <w:rPr>
          <w:color w:val="000000"/>
          <w:spacing w:val="-4"/>
        </w:rPr>
        <w:t>__________________________</w:t>
      </w:r>
    </w:p>
    <w:p w14:paraId="28930C99" w14:textId="77777777" w:rsidR="0086452B" w:rsidRDefault="0086452B" w:rsidP="0086452B">
      <w:pPr>
        <w:spacing w:after="0"/>
        <w:ind w:left="4320" w:hanging="4320"/>
        <w:rPr>
          <w:color w:val="000000"/>
          <w:spacing w:val="-4"/>
        </w:rPr>
      </w:pPr>
      <w:r w:rsidRPr="0034214E">
        <w:rPr>
          <w:color w:val="000000"/>
          <w:spacing w:val="-4"/>
        </w:rPr>
        <w:tab/>
      </w:r>
      <w:r>
        <w:rPr>
          <w:color w:val="000000"/>
          <w:spacing w:val="-4"/>
        </w:rPr>
        <w:t>Name:</w:t>
      </w:r>
      <w:r>
        <w:rPr>
          <w:color w:val="000000"/>
          <w:spacing w:val="-4"/>
        </w:rPr>
        <w:tab/>
        <w:t>Christopher S. Jenkins</w:t>
      </w:r>
    </w:p>
    <w:p w14:paraId="2C571795" w14:textId="01D53D71" w:rsidR="0086452B" w:rsidRDefault="0086452B" w:rsidP="0086452B">
      <w:pPr>
        <w:spacing w:after="0"/>
        <w:ind w:left="4320" w:hanging="4320"/>
        <w:rPr>
          <w:color w:val="000000"/>
          <w:spacing w:val="-4"/>
        </w:rPr>
      </w:pPr>
      <w:r>
        <w:rPr>
          <w:color w:val="000000"/>
          <w:spacing w:val="-4"/>
        </w:rPr>
        <w:tab/>
        <w:t>Its:</w:t>
      </w:r>
      <w:r>
        <w:rPr>
          <w:color w:val="000000"/>
          <w:spacing w:val="-4"/>
        </w:rPr>
        <w:tab/>
        <w:t>__________________________</w:t>
      </w:r>
    </w:p>
    <w:p w14:paraId="6CA2CA1A" w14:textId="3C302E2D" w:rsidR="00E6492B" w:rsidRDefault="00E6492B" w:rsidP="0086452B">
      <w:pPr>
        <w:spacing w:after="0"/>
        <w:ind w:left="4320" w:hanging="4320"/>
        <w:rPr>
          <w:color w:val="000000"/>
          <w:spacing w:val="-4"/>
        </w:rPr>
      </w:pPr>
    </w:p>
    <w:p w14:paraId="1F683FF4" w14:textId="7D6A31AE" w:rsidR="00E6492B" w:rsidRDefault="00E6492B" w:rsidP="0086452B">
      <w:pPr>
        <w:spacing w:after="0"/>
        <w:ind w:left="4320" w:hanging="4320"/>
        <w:rPr>
          <w:color w:val="000000"/>
          <w:spacing w:val="-4"/>
        </w:rPr>
      </w:pPr>
    </w:p>
    <w:p w14:paraId="6E00C955" w14:textId="2F38BC17" w:rsidR="00E6492B" w:rsidRDefault="00E6492B" w:rsidP="0086452B">
      <w:pPr>
        <w:spacing w:after="0"/>
        <w:ind w:left="4320" w:hanging="4320"/>
        <w:rPr>
          <w:color w:val="000000"/>
          <w:spacing w:val="-4"/>
        </w:rPr>
      </w:pPr>
    </w:p>
    <w:p w14:paraId="2E947BB9" w14:textId="303B8025" w:rsidR="00E6492B" w:rsidRDefault="00E6492B" w:rsidP="0086452B">
      <w:pPr>
        <w:spacing w:after="0"/>
        <w:ind w:left="4320" w:hanging="4320"/>
        <w:rPr>
          <w:color w:val="000000"/>
          <w:spacing w:val="-4"/>
        </w:rPr>
      </w:pPr>
      <w:r>
        <w:rPr>
          <w:color w:val="000000"/>
          <w:spacing w:val="-4"/>
        </w:rPr>
        <w:tab/>
        <w:t>SW DOWNTOWN BUSINESS IMPROVEMENT DISTRICT</w:t>
      </w:r>
    </w:p>
    <w:p w14:paraId="75AFD312" w14:textId="75414C40" w:rsidR="00E6492B" w:rsidRDefault="00E6492B" w:rsidP="0086452B">
      <w:pPr>
        <w:spacing w:after="0"/>
        <w:ind w:left="4320" w:hanging="4320"/>
        <w:rPr>
          <w:color w:val="000000"/>
          <w:spacing w:val="-4"/>
        </w:rPr>
      </w:pPr>
    </w:p>
    <w:p w14:paraId="6517370C" w14:textId="46A7B4AE" w:rsidR="00E6492B" w:rsidRDefault="00E6492B" w:rsidP="0086452B">
      <w:pPr>
        <w:spacing w:after="0"/>
        <w:ind w:left="4320" w:hanging="4320"/>
        <w:rPr>
          <w:color w:val="000000"/>
          <w:spacing w:val="-4"/>
        </w:rPr>
      </w:pPr>
    </w:p>
    <w:p w14:paraId="2ACB5193" w14:textId="6A12DA48" w:rsidR="00E6492B" w:rsidRDefault="00E6492B" w:rsidP="0086452B">
      <w:pPr>
        <w:spacing w:after="0"/>
        <w:ind w:left="4320" w:hanging="4320"/>
        <w:rPr>
          <w:color w:val="000000"/>
          <w:spacing w:val="-4"/>
        </w:rPr>
      </w:pPr>
      <w:r>
        <w:rPr>
          <w:color w:val="000000"/>
          <w:spacing w:val="-4"/>
        </w:rPr>
        <w:tab/>
        <w:t>By:</w:t>
      </w:r>
      <w:r>
        <w:rPr>
          <w:color w:val="000000"/>
          <w:spacing w:val="-4"/>
        </w:rPr>
        <w:tab/>
        <w:t>__________________________</w:t>
      </w:r>
    </w:p>
    <w:p w14:paraId="704CE6C7" w14:textId="1494B727" w:rsidR="00E6492B" w:rsidRDefault="00E6492B" w:rsidP="0086452B">
      <w:pPr>
        <w:spacing w:after="0"/>
        <w:ind w:left="4320" w:hanging="4320"/>
        <w:rPr>
          <w:color w:val="000000"/>
          <w:spacing w:val="-4"/>
        </w:rPr>
      </w:pPr>
      <w:r>
        <w:rPr>
          <w:color w:val="000000"/>
          <w:spacing w:val="-4"/>
        </w:rPr>
        <w:tab/>
        <w:t>Name:</w:t>
      </w:r>
      <w:r>
        <w:rPr>
          <w:color w:val="000000"/>
          <w:spacing w:val="-4"/>
        </w:rPr>
        <w:tab/>
        <w:t>__________________________</w:t>
      </w:r>
    </w:p>
    <w:p w14:paraId="28431B07" w14:textId="3FF8A81B" w:rsidR="00E6492B" w:rsidRDefault="00E6492B" w:rsidP="0086452B">
      <w:pPr>
        <w:spacing w:after="0"/>
        <w:ind w:left="4320" w:hanging="4320"/>
        <w:rPr>
          <w:color w:val="000000"/>
          <w:spacing w:val="-4"/>
        </w:rPr>
      </w:pPr>
      <w:r>
        <w:rPr>
          <w:color w:val="000000"/>
          <w:spacing w:val="-4"/>
        </w:rPr>
        <w:tab/>
        <w:t>Its:</w:t>
      </w:r>
      <w:r>
        <w:rPr>
          <w:color w:val="000000"/>
          <w:spacing w:val="-4"/>
        </w:rPr>
        <w:tab/>
        <w:t>__________________________</w:t>
      </w:r>
    </w:p>
    <w:p w14:paraId="4AC78BCA" w14:textId="644AAF74" w:rsidR="00961846" w:rsidRDefault="00961846" w:rsidP="0086452B">
      <w:pPr>
        <w:spacing w:after="0"/>
        <w:ind w:left="4320" w:hanging="4320"/>
        <w:rPr>
          <w:color w:val="000000"/>
          <w:spacing w:val="-4"/>
        </w:rPr>
      </w:pPr>
    </w:p>
    <w:p w14:paraId="320C9FEE" w14:textId="77777777" w:rsidR="00961846" w:rsidRPr="00961846" w:rsidRDefault="00961846" w:rsidP="00961846">
      <w:pPr>
        <w:spacing w:after="0"/>
        <w:ind w:left="5040" w:hanging="4320"/>
        <w:rPr>
          <w:color w:val="000000"/>
          <w:spacing w:val="-4"/>
        </w:rPr>
      </w:pPr>
      <w:r w:rsidRPr="00961846">
        <w:rPr>
          <w:color w:val="000000"/>
          <w:spacing w:val="-4"/>
        </w:rPr>
        <w:t>ATTEST:</w:t>
      </w:r>
    </w:p>
    <w:p w14:paraId="296039AA" w14:textId="77777777" w:rsidR="00961846" w:rsidRPr="00961846" w:rsidRDefault="00961846" w:rsidP="00961846">
      <w:pPr>
        <w:spacing w:after="0"/>
        <w:ind w:left="5040" w:hanging="4320"/>
        <w:rPr>
          <w:color w:val="000000"/>
          <w:spacing w:val="-4"/>
        </w:rPr>
      </w:pPr>
    </w:p>
    <w:p w14:paraId="6B90FE2E" w14:textId="77777777" w:rsidR="00961846" w:rsidRPr="00961846" w:rsidRDefault="00961846" w:rsidP="00961846">
      <w:pPr>
        <w:spacing w:after="0"/>
        <w:ind w:left="5040" w:hanging="4320"/>
        <w:rPr>
          <w:color w:val="000000"/>
          <w:spacing w:val="-4"/>
        </w:rPr>
      </w:pPr>
    </w:p>
    <w:p w14:paraId="3474193B" w14:textId="77777777" w:rsidR="00961846" w:rsidRPr="00961846" w:rsidRDefault="00961846" w:rsidP="00961846">
      <w:pPr>
        <w:spacing w:after="0"/>
        <w:ind w:left="5040" w:hanging="4320"/>
        <w:rPr>
          <w:color w:val="000000"/>
          <w:spacing w:val="-4"/>
        </w:rPr>
      </w:pPr>
      <w:r w:rsidRPr="00961846">
        <w:rPr>
          <w:color w:val="000000"/>
          <w:spacing w:val="-4"/>
        </w:rPr>
        <w:t>_____________________________</w:t>
      </w:r>
    </w:p>
    <w:p w14:paraId="2039E4A3" w14:textId="456353D2" w:rsidR="00961846" w:rsidRDefault="00961846" w:rsidP="00961846">
      <w:pPr>
        <w:spacing w:after="0"/>
        <w:ind w:left="5040" w:hanging="4320"/>
        <w:rPr>
          <w:color w:val="000000"/>
          <w:spacing w:val="-4"/>
        </w:rPr>
      </w:pPr>
      <w:r>
        <w:rPr>
          <w:color w:val="000000"/>
          <w:spacing w:val="-4"/>
        </w:rPr>
        <w:t>__________________________</w:t>
      </w:r>
    </w:p>
    <w:p w14:paraId="24308C57" w14:textId="77777777" w:rsidR="0086452B" w:rsidRPr="0034214E" w:rsidRDefault="0086452B" w:rsidP="0086452B">
      <w:pPr>
        <w:spacing w:after="0"/>
        <w:ind w:left="4320" w:hanging="4320"/>
        <w:rPr>
          <w:color w:val="000000"/>
          <w:spacing w:val="-4"/>
        </w:rPr>
      </w:pPr>
      <w:r w:rsidRPr="0034214E">
        <w:rPr>
          <w:color w:val="000000"/>
          <w:spacing w:val="-4"/>
        </w:rPr>
        <w:tab/>
      </w:r>
    </w:p>
    <w:p w14:paraId="7584BDF1" w14:textId="77777777" w:rsidR="0086452B" w:rsidRPr="0034214E" w:rsidRDefault="0086452B" w:rsidP="0086452B">
      <w:pPr>
        <w:ind w:left="4320"/>
        <w:rPr>
          <w:color w:val="000000"/>
          <w:spacing w:val="-4"/>
        </w:rPr>
        <w:sectPr w:rsidR="0086452B" w:rsidRPr="0034214E" w:rsidSect="0086452B">
          <w:headerReference w:type="first" r:id="rId16"/>
          <w:footerReference w:type="first" r:id="rId17"/>
          <w:pgSz w:w="12240" w:h="15840" w:code="1"/>
          <w:pgMar w:top="1440" w:right="1440" w:bottom="1440" w:left="1440" w:header="720" w:footer="720" w:gutter="0"/>
          <w:cols w:space="720"/>
          <w:titlePg/>
        </w:sectPr>
      </w:pPr>
    </w:p>
    <w:p w14:paraId="0077CCAD" w14:textId="77777777" w:rsidR="0086452B" w:rsidRPr="00B36C00" w:rsidRDefault="0086452B" w:rsidP="0086452B">
      <w:pPr>
        <w:ind w:firstLine="0"/>
        <w:jc w:val="center"/>
        <w:rPr>
          <w:color w:val="000000"/>
          <w:spacing w:val="-4"/>
          <w:u w:val="single"/>
        </w:rPr>
      </w:pPr>
      <w:r w:rsidRPr="00B36C00">
        <w:rPr>
          <w:color w:val="000000"/>
          <w:spacing w:val="-4"/>
          <w:u w:val="single"/>
        </w:rPr>
        <w:lastRenderedPageBreak/>
        <w:t>EXHIBIT A</w:t>
      </w:r>
    </w:p>
    <w:p w14:paraId="0EF3C1B9" w14:textId="77777777" w:rsidR="0086452B" w:rsidRPr="0034214E" w:rsidRDefault="0086452B" w:rsidP="0086452B">
      <w:pPr>
        <w:ind w:firstLine="0"/>
        <w:jc w:val="center"/>
        <w:rPr>
          <w:color w:val="000000"/>
          <w:spacing w:val="-4"/>
        </w:rPr>
      </w:pPr>
      <w:r w:rsidRPr="0034214E">
        <w:rPr>
          <w:color w:val="000000"/>
          <w:spacing w:val="-4"/>
        </w:rPr>
        <w:t>DEPICTION OF PROPERTY</w:t>
      </w:r>
    </w:p>
    <w:p w14:paraId="385B8484" w14:textId="77777777" w:rsidR="0086452B" w:rsidRPr="0034214E" w:rsidRDefault="0086452B" w:rsidP="0086452B">
      <w:pPr>
        <w:ind w:firstLine="0"/>
        <w:jc w:val="center"/>
        <w:rPr>
          <w:color w:val="000000"/>
          <w:spacing w:val="-4"/>
        </w:rPr>
      </w:pPr>
    </w:p>
    <w:p w14:paraId="29F784AC" w14:textId="77777777" w:rsidR="0086452B" w:rsidRPr="0034214E" w:rsidRDefault="0086452B">
      <w:pPr>
        <w:jc w:val="center"/>
        <w:rPr>
          <w:color w:val="000000"/>
          <w:spacing w:val="-4"/>
        </w:rPr>
      </w:pPr>
    </w:p>
    <w:p w14:paraId="17A98C02" w14:textId="77777777" w:rsidR="0086452B" w:rsidRPr="0034214E" w:rsidRDefault="0086452B" w:rsidP="0086452B">
      <w:pPr>
        <w:rPr>
          <w:color w:val="000000"/>
          <w:spacing w:val="-4"/>
        </w:rPr>
        <w:sectPr w:rsidR="0086452B" w:rsidRPr="0034214E" w:rsidSect="0086452B">
          <w:footerReference w:type="first" r:id="rId18"/>
          <w:pgSz w:w="12240" w:h="15840" w:code="1"/>
          <w:pgMar w:top="1440" w:right="1440" w:bottom="1440" w:left="1440" w:header="720" w:footer="720" w:gutter="0"/>
          <w:cols w:space="720"/>
          <w:titlePg/>
        </w:sectPr>
      </w:pPr>
    </w:p>
    <w:p w14:paraId="5E6CF42E" w14:textId="13C04B96" w:rsidR="0086452B" w:rsidRPr="00DD5972" w:rsidRDefault="0086452B" w:rsidP="0086452B">
      <w:pPr>
        <w:spacing w:after="0"/>
        <w:ind w:firstLine="0"/>
        <w:jc w:val="center"/>
        <w:rPr>
          <w:caps/>
          <w:color w:val="000000"/>
          <w:spacing w:val="-4"/>
          <w:u w:val="single"/>
        </w:rPr>
      </w:pPr>
      <w:r w:rsidRPr="00DD5972">
        <w:rPr>
          <w:caps/>
          <w:color w:val="000000"/>
          <w:spacing w:val="-4"/>
          <w:u w:val="single"/>
        </w:rPr>
        <w:lastRenderedPageBreak/>
        <w:t>Exhibit A1</w:t>
      </w:r>
    </w:p>
    <w:p w14:paraId="14E05F2E" w14:textId="055D4BD5" w:rsidR="0086452B" w:rsidRPr="00DD5972" w:rsidRDefault="00A47479" w:rsidP="0086452B">
      <w:pPr>
        <w:spacing w:after="0"/>
        <w:ind w:firstLine="0"/>
        <w:jc w:val="center"/>
        <w:rPr>
          <w:caps/>
          <w:color w:val="000000"/>
          <w:spacing w:val="-4"/>
        </w:rPr>
      </w:pPr>
      <w:r>
        <w:rPr>
          <w:caps/>
          <w:color w:val="000000"/>
          <w:spacing w:val="-4"/>
        </w:rPr>
        <w:t>Concept Plan</w:t>
      </w:r>
    </w:p>
    <w:p w14:paraId="33C9D2CE" w14:textId="77777777" w:rsidR="00E6492B" w:rsidRDefault="00E6492B">
      <w:pPr>
        <w:spacing w:after="0"/>
        <w:ind w:firstLine="0"/>
        <w:jc w:val="left"/>
        <w:rPr>
          <w:color w:val="000000"/>
          <w:spacing w:val="-4"/>
          <w:u w:val="single"/>
        </w:rPr>
        <w:sectPr w:rsidR="00E6492B" w:rsidSect="0086452B">
          <w:footerReference w:type="first" r:id="rId19"/>
          <w:pgSz w:w="12240" w:h="15840" w:code="1"/>
          <w:pgMar w:top="1440" w:right="1440" w:bottom="1440" w:left="1440" w:header="720" w:footer="720" w:gutter="0"/>
          <w:cols w:space="720"/>
          <w:titlePg/>
        </w:sectPr>
      </w:pPr>
    </w:p>
    <w:p w14:paraId="4D5A373B" w14:textId="77777777" w:rsidR="0086452B" w:rsidRPr="00B36C00" w:rsidRDefault="0086452B" w:rsidP="0086452B">
      <w:pPr>
        <w:ind w:firstLine="0"/>
        <w:jc w:val="center"/>
        <w:rPr>
          <w:color w:val="000000"/>
          <w:spacing w:val="-4"/>
          <w:u w:val="single"/>
        </w:rPr>
      </w:pPr>
      <w:r w:rsidRPr="00B36C00">
        <w:rPr>
          <w:color w:val="000000"/>
          <w:spacing w:val="-4"/>
          <w:u w:val="single"/>
        </w:rPr>
        <w:lastRenderedPageBreak/>
        <w:t>EXHIBIT B</w:t>
      </w:r>
    </w:p>
    <w:p w14:paraId="1905A336" w14:textId="77777777" w:rsidR="0086452B" w:rsidRPr="0034214E" w:rsidRDefault="0086452B" w:rsidP="0086452B">
      <w:pPr>
        <w:spacing w:after="0" w:line="218" w:lineRule="auto"/>
        <w:ind w:firstLine="0"/>
        <w:jc w:val="center"/>
        <w:rPr>
          <w:color w:val="000000"/>
          <w:spacing w:val="-4"/>
        </w:rPr>
      </w:pPr>
      <w:r w:rsidRPr="0034214E">
        <w:rPr>
          <w:color w:val="000000"/>
          <w:spacing w:val="-4"/>
        </w:rPr>
        <w:t xml:space="preserve">PUBLIC IMPROVEMENTS AND REIMBURSABLE PROJECT COSTS </w:t>
      </w:r>
    </w:p>
    <w:p w14:paraId="0852FAC1" w14:textId="77777777" w:rsidR="0086452B" w:rsidRPr="0034214E" w:rsidRDefault="0086452B" w:rsidP="0086452B">
      <w:pPr>
        <w:spacing w:line="218" w:lineRule="auto"/>
        <w:ind w:firstLine="0"/>
        <w:jc w:val="center"/>
        <w:rPr>
          <w:color w:val="000000"/>
          <w:spacing w:val="-4"/>
        </w:rPr>
      </w:pPr>
    </w:p>
    <w:p w14:paraId="726A7110" w14:textId="77777777" w:rsidR="0086452B" w:rsidRPr="0034214E" w:rsidRDefault="0086452B">
      <w:pPr>
        <w:spacing w:line="218" w:lineRule="auto"/>
        <w:rPr>
          <w:color w:val="000000"/>
          <w:spacing w:val="-4"/>
        </w:rPr>
      </w:pPr>
    </w:p>
    <w:p w14:paraId="7880606E" w14:textId="77777777" w:rsidR="0086452B" w:rsidRPr="0034214E" w:rsidRDefault="0086452B" w:rsidP="0086452B">
      <w:pPr>
        <w:spacing w:line="218" w:lineRule="auto"/>
        <w:rPr>
          <w:color w:val="000000"/>
          <w:spacing w:val="-4"/>
        </w:rPr>
        <w:sectPr w:rsidR="0086452B" w:rsidRPr="0034214E" w:rsidSect="0086452B">
          <w:footerReference w:type="first" r:id="rId20"/>
          <w:pgSz w:w="12240" w:h="15840" w:code="1"/>
          <w:pgMar w:top="1440" w:right="1440" w:bottom="1440" w:left="1440" w:header="720" w:footer="720" w:gutter="0"/>
          <w:cols w:space="720"/>
          <w:titlePg/>
        </w:sectPr>
      </w:pPr>
    </w:p>
    <w:p w14:paraId="70005245" w14:textId="77777777" w:rsidR="0086452B" w:rsidRPr="00E516F7" w:rsidRDefault="0086452B" w:rsidP="00E516F7">
      <w:pPr>
        <w:spacing w:line="218" w:lineRule="auto"/>
        <w:ind w:firstLine="0"/>
        <w:jc w:val="center"/>
        <w:rPr>
          <w:u w:val="single"/>
        </w:rPr>
      </w:pPr>
      <w:r w:rsidRPr="00E516F7">
        <w:rPr>
          <w:u w:val="single"/>
        </w:rPr>
        <w:lastRenderedPageBreak/>
        <w:t>EXHIBIT C</w:t>
      </w:r>
    </w:p>
    <w:p w14:paraId="57611A13" w14:textId="77777777" w:rsidR="0086452B" w:rsidRDefault="0086452B" w:rsidP="00E516F7">
      <w:pPr>
        <w:spacing w:line="218" w:lineRule="auto"/>
        <w:ind w:firstLine="0"/>
        <w:jc w:val="center"/>
      </w:pPr>
      <w:r>
        <w:t>SCHEDULE OF AUTHORITY ADMINISTRATIVE FEE</w:t>
      </w:r>
    </w:p>
    <w:p w14:paraId="4332323B" w14:textId="77777777" w:rsidR="00E516F7" w:rsidRDefault="00E516F7" w:rsidP="0086452B">
      <w:pPr>
        <w:spacing w:line="218" w:lineRule="auto"/>
        <w:ind w:hanging="720"/>
        <w:jc w:val="center"/>
      </w:pPr>
    </w:p>
    <w:p w14:paraId="77BDC76A" w14:textId="77777777" w:rsidR="00E516F7" w:rsidRPr="0034214E" w:rsidRDefault="00E516F7" w:rsidP="00E516F7">
      <w:pPr>
        <w:spacing w:line="218" w:lineRule="auto"/>
        <w:ind w:firstLine="0"/>
        <w:jc w:val="center"/>
      </w:pPr>
      <w:r w:rsidRPr="00A33E8E">
        <w:rPr>
          <w:noProof/>
        </w:rPr>
        <w:drawing>
          <wp:inline distT="0" distB="0" distL="0" distR="0" wp14:anchorId="4698205F" wp14:editId="551EC7E2">
            <wp:extent cx="182880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5210175"/>
                    </a:xfrm>
                    <a:prstGeom prst="rect">
                      <a:avLst/>
                    </a:prstGeom>
                    <a:noFill/>
                    <a:ln>
                      <a:noFill/>
                    </a:ln>
                  </pic:spPr>
                </pic:pic>
              </a:graphicData>
            </a:graphic>
          </wp:inline>
        </w:drawing>
      </w:r>
    </w:p>
    <w:sectPr w:rsidR="00E516F7" w:rsidRPr="0034214E" w:rsidSect="0086452B">
      <w:footerReference w:type="default" r:id="rId22"/>
      <w:footerReference w:type="firs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68B1" w14:textId="77777777" w:rsidR="0025398D" w:rsidRDefault="0025398D">
      <w:pPr>
        <w:spacing w:after="0"/>
      </w:pPr>
      <w:r>
        <w:separator/>
      </w:r>
    </w:p>
  </w:endnote>
  <w:endnote w:type="continuationSeparator" w:id="0">
    <w:p w14:paraId="51263C2A" w14:textId="77777777" w:rsidR="0025398D" w:rsidRDefault="00253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85B" w14:textId="77777777" w:rsidR="0025398D" w:rsidRDefault="0025398D">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C88A" w14:textId="77777777" w:rsidR="0025398D" w:rsidRPr="007C4489" w:rsidRDefault="0025398D" w:rsidP="007C4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6094" w14:textId="427588A2" w:rsidR="0025398D" w:rsidRPr="00E6492B" w:rsidRDefault="0025398D" w:rsidP="00E64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6F69" w14:textId="5652D300" w:rsidR="0025398D" w:rsidRPr="00E6492B" w:rsidRDefault="0025398D" w:rsidP="00E64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C3BF" w14:textId="2BFE5014" w:rsidR="0025398D" w:rsidRPr="00E6492B" w:rsidRDefault="0025398D" w:rsidP="00E649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D3DA" w14:textId="77777777" w:rsidR="0025398D" w:rsidRDefault="0025398D" w:rsidP="0086452B">
    <w:pPr>
      <w:pStyle w:val="Footer"/>
      <w:spacing w:after="0"/>
      <w:ind w:firstLine="0"/>
      <w:jc w:val="left"/>
    </w:pPr>
    <w:r w:rsidRPr="00871F09">
      <w:rPr>
        <w:rStyle w:val="zzmpTrailerItem"/>
      </w:rPr>
      <w:t>20030236</w:t>
    </w:r>
    <w:r w:rsidRPr="00871F09">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B4EA" w14:textId="5C294045" w:rsidR="0025398D" w:rsidRPr="00E6492B" w:rsidRDefault="0025398D" w:rsidP="00E6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2BA0" w14:textId="77777777" w:rsidR="0025398D" w:rsidRDefault="0025398D">
      <w:pPr>
        <w:spacing w:after="0"/>
      </w:pPr>
      <w:r>
        <w:separator/>
      </w:r>
    </w:p>
  </w:footnote>
  <w:footnote w:type="continuationSeparator" w:id="0">
    <w:p w14:paraId="2B6A459D" w14:textId="77777777" w:rsidR="0025398D" w:rsidRDefault="00253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7141" w14:textId="50588DBE" w:rsidR="0025398D" w:rsidRDefault="0025398D" w:rsidP="00DC5008">
    <w:pPr>
      <w:pStyle w:val="Header"/>
      <w:jc w:val="right"/>
    </w:pPr>
    <w:r>
      <w:t>CSURA Draft 1.</w:t>
    </w:r>
    <w:r w:rsidR="00F24C1A">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C8F" w14:textId="0533E0CC" w:rsidR="0025398D" w:rsidRPr="00DC5008" w:rsidRDefault="0025398D" w:rsidP="00DC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90015"/>
    <w:lvl w:ilvl="0">
      <w:start w:val="1"/>
      <w:numFmt w:val="upperLetter"/>
      <w:lvlText w:val="%1."/>
      <w:lvlJc w:val="left"/>
      <w:pPr>
        <w:ind w:left="360" w:hanging="360"/>
      </w:pPr>
    </w:lvl>
  </w:abstractNum>
  <w:abstractNum w:abstractNumId="1" w15:restartNumberingAfterBreak="0">
    <w:nsid w:val="00000001"/>
    <w:multiLevelType w:val="multilevel"/>
    <w:tmpl w:val="00000001"/>
    <w:lvl w:ilvl="0">
      <w:start w:val="3"/>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3"/>
    <w:multiLevelType w:val="multilevel"/>
    <w:tmpl w:val="0000000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18E6615F"/>
    <w:multiLevelType w:val="hybridMultilevel"/>
    <w:tmpl w:val="8D740B2E"/>
    <w:lvl w:ilvl="0" w:tplc="F94EBCC4">
      <w:start w:val="1"/>
      <w:numFmt w:val="upperLetter"/>
      <w:lvlText w:val="%1."/>
      <w:lvlJc w:val="left"/>
      <w:pPr>
        <w:ind w:left="1170" w:hanging="360"/>
      </w:pPr>
      <w:rPr>
        <w:rFonts w:hint="default"/>
      </w:rPr>
    </w:lvl>
    <w:lvl w:ilvl="1" w:tplc="406AA728" w:tentative="1">
      <w:start w:val="1"/>
      <w:numFmt w:val="bullet"/>
      <w:lvlText w:val="o"/>
      <w:lvlJc w:val="left"/>
      <w:pPr>
        <w:ind w:left="1890" w:hanging="360"/>
      </w:pPr>
      <w:rPr>
        <w:rFonts w:ascii="Courier New" w:hAnsi="Courier New" w:cs="Courier New" w:hint="default"/>
      </w:rPr>
    </w:lvl>
    <w:lvl w:ilvl="2" w:tplc="3266E050" w:tentative="1">
      <w:start w:val="1"/>
      <w:numFmt w:val="bullet"/>
      <w:lvlText w:val=""/>
      <w:lvlJc w:val="left"/>
      <w:pPr>
        <w:ind w:left="2610" w:hanging="360"/>
      </w:pPr>
      <w:rPr>
        <w:rFonts w:ascii="Wingdings" w:hAnsi="Wingdings" w:hint="default"/>
      </w:rPr>
    </w:lvl>
    <w:lvl w:ilvl="3" w:tplc="00B0BC2C" w:tentative="1">
      <w:start w:val="1"/>
      <w:numFmt w:val="bullet"/>
      <w:lvlText w:val=""/>
      <w:lvlJc w:val="left"/>
      <w:pPr>
        <w:ind w:left="3330" w:hanging="360"/>
      </w:pPr>
      <w:rPr>
        <w:rFonts w:ascii="Symbol" w:hAnsi="Symbol" w:hint="default"/>
      </w:rPr>
    </w:lvl>
    <w:lvl w:ilvl="4" w:tplc="68DE7CDC" w:tentative="1">
      <w:start w:val="1"/>
      <w:numFmt w:val="bullet"/>
      <w:lvlText w:val="o"/>
      <w:lvlJc w:val="left"/>
      <w:pPr>
        <w:ind w:left="4050" w:hanging="360"/>
      </w:pPr>
      <w:rPr>
        <w:rFonts w:ascii="Courier New" w:hAnsi="Courier New" w:cs="Courier New" w:hint="default"/>
      </w:rPr>
    </w:lvl>
    <w:lvl w:ilvl="5" w:tplc="64383820" w:tentative="1">
      <w:start w:val="1"/>
      <w:numFmt w:val="bullet"/>
      <w:lvlText w:val=""/>
      <w:lvlJc w:val="left"/>
      <w:pPr>
        <w:ind w:left="4770" w:hanging="360"/>
      </w:pPr>
      <w:rPr>
        <w:rFonts w:ascii="Wingdings" w:hAnsi="Wingdings" w:hint="default"/>
      </w:rPr>
    </w:lvl>
    <w:lvl w:ilvl="6" w:tplc="91B20238" w:tentative="1">
      <w:start w:val="1"/>
      <w:numFmt w:val="bullet"/>
      <w:lvlText w:val=""/>
      <w:lvlJc w:val="left"/>
      <w:pPr>
        <w:ind w:left="5490" w:hanging="360"/>
      </w:pPr>
      <w:rPr>
        <w:rFonts w:ascii="Symbol" w:hAnsi="Symbol" w:hint="default"/>
      </w:rPr>
    </w:lvl>
    <w:lvl w:ilvl="7" w:tplc="84FA0F5E" w:tentative="1">
      <w:start w:val="1"/>
      <w:numFmt w:val="bullet"/>
      <w:lvlText w:val="o"/>
      <w:lvlJc w:val="left"/>
      <w:pPr>
        <w:ind w:left="6210" w:hanging="360"/>
      </w:pPr>
      <w:rPr>
        <w:rFonts w:ascii="Courier New" w:hAnsi="Courier New" w:cs="Courier New" w:hint="default"/>
      </w:rPr>
    </w:lvl>
    <w:lvl w:ilvl="8" w:tplc="EED63F98" w:tentative="1">
      <w:start w:val="1"/>
      <w:numFmt w:val="bullet"/>
      <w:lvlText w:val=""/>
      <w:lvlJc w:val="left"/>
      <w:pPr>
        <w:ind w:left="6930" w:hanging="360"/>
      </w:pPr>
      <w:rPr>
        <w:rFonts w:ascii="Wingdings" w:hAnsi="Wingdings" w:hint="default"/>
      </w:rPr>
    </w:lvl>
  </w:abstractNum>
  <w:abstractNum w:abstractNumId="5" w15:restartNumberingAfterBreak="0">
    <w:nsid w:val="23110657"/>
    <w:multiLevelType w:val="hybridMultilevel"/>
    <w:tmpl w:val="7494B746"/>
    <w:lvl w:ilvl="0" w:tplc="D60E57CE">
      <w:start w:val="1"/>
      <w:numFmt w:val="bullet"/>
      <w:lvlText w:val=""/>
      <w:lvlJc w:val="left"/>
      <w:pPr>
        <w:ind w:left="1440" w:hanging="360"/>
      </w:pPr>
      <w:rPr>
        <w:rFonts w:ascii="Symbol" w:hAnsi="Symbol" w:hint="default"/>
      </w:rPr>
    </w:lvl>
    <w:lvl w:ilvl="1" w:tplc="0B54EE30">
      <w:start w:val="1"/>
      <w:numFmt w:val="bullet"/>
      <w:lvlText w:val="o"/>
      <w:lvlJc w:val="left"/>
      <w:pPr>
        <w:ind w:left="2160" w:hanging="360"/>
      </w:pPr>
      <w:rPr>
        <w:rFonts w:ascii="Courier New" w:hAnsi="Courier New" w:cs="Courier New" w:hint="default"/>
      </w:rPr>
    </w:lvl>
    <w:lvl w:ilvl="2" w:tplc="352414CA" w:tentative="1">
      <w:start w:val="1"/>
      <w:numFmt w:val="bullet"/>
      <w:lvlText w:val=""/>
      <w:lvlJc w:val="left"/>
      <w:pPr>
        <w:ind w:left="2880" w:hanging="360"/>
      </w:pPr>
      <w:rPr>
        <w:rFonts w:ascii="Wingdings" w:hAnsi="Wingdings" w:hint="default"/>
      </w:rPr>
    </w:lvl>
    <w:lvl w:ilvl="3" w:tplc="E6283066" w:tentative="1">
      <w:start w:val="1"/>
      <w:numFmt w:val="bullet"/>
      <w:lvlText w:val=""/>
      <w:lvlJc w:val="left"/>
      <w:pPr>
        <w:ind w:left="3600" w:hanging="360"/>
      </w:pPr>
      <w:rPr>
        <w:rFonts w:ascii="Symbol" w:hAnsi="Symbol" w:hint="default"/>
      </w:rPr>
    </w:lvl>
    <w:lvl w:ilvl="4" w:tplc="09601A84" w:tentative="1">
      <w:start w:val="1"/>
      <w:numFmt w:val="bullet"/>
      <w:lvlText w:val="o"/>
      <w:lvlJc w:val="left"/>
      <w:pPr>
        <w:ind w:left="4320" w:hanging="360"/>
      </w:pPr>
      <w:rPr>
        <w:rFonts w:ascii="Courier New" w:hAnsi="Courier New" w:cs="Courier New" w:hint="default"/>
      </w:rPr>
    </w:lvl>
    <w:lvl w:ilvl="5" w:tplc="87E28F84" w:tentative="1">
      <w:start w:val="1"/>
      <w:numFmt w:val="bullet"/>
      <w:lvlText w:val=""/>
      <w:lvlJc w:val="left"/>
      <w:pPr>
        <w:ind w:left="5040" w:hanging="360"/>
      </w:pPr>
      <w:rPr>
        <w:rFonts w:ascii="Wingdings" w:hAnsi="Wingdings" w:hint="default"/>
      </w:rPr>
    </w:lvl>
    <w:lvl w:ilvl="6" w:tplc="41A6EE2C" w:tentative="1">
      <w:start w:val="1"/>
      <w:numFmt w:val="bullet"/>
      <w:lvlText w:val=""/>
      <w:lvlJc w:val="left"/>
      <w:pPr>
        <w:ind w:left="5760" w:hanging="360"/>
      </w:pPr>
      <w:rPr>
        <w:rFonts w:ascii="Symbol" w:hAnsi="Symbol" w:hint="default"/>
      </w:rPr>
    </w:lvl>
    <w:lvl w:ilvl="7" w:tplc="D79E49DA" w:tentative="1">
      <w:start w:val="1"/>
      <w:numFmt w:val="bullet"/>
      <w:lvlText w:val="o"/>
      <w:lvlJc w:val="left"/>
      <w:pPr>
        <w:ind w:left="6480" w:hanging="360"/>
      </w:pPr>
      <w:rPr>
        <w:rFonts w:ascii="Courier New" w:hAnsi="Courier New" w:cs="Courier New" w:hint="default"/>
      </w:rPr>
    </w:lvl>
    <w:lvl w:ilvl="8" w:tplc="B0E6E74E" w:tentative="1">
      <w:start w:val="1"/>
      <w:numFmt w:val="bullet"/>
      <w:lvlText w:val=""/>
      <w:lvlJc w:val="left"/>
      <w:pPr>
        <w:ind w:left="7200" w:hanging="360"/>
      </w:pPr>
      <w:rPr>
        <w:rFonts w:ascii="Wingdings" w:hAnsi="Wingdings" w:hint="default"/>
      </w:rPr>
    </w:lvl>
  </w:abstractNum>
  <w:abstractNum w:abstractNumId="6" w15:restartNumberingAfterBreak="0">
    <w:nsid w:val="35803BF5"/>
    <w:multiLevelType w:val="hybridMultilevel"/>
    <w:tmpl w:val="2C88D454"/>
    <w:lvl w:ilvl="0" w:tplc="59D01778">
      <w:start w:val="1"/>
      <w:numFmt w:val="upperLetter"/>
      <w:lvlText w:val="%1."/>
      <w:lvlJc w:val="left"/>
      <w:pPr>
        <w:ind w:left="1170" w:hanging="360"/>
      </w:pPr>
      <w:rPr>
        <w:rFonts w:hint="default"/>
      </w:rPr>
    </w:lvl>
    <w:lvl w:ilvl="1" w:tplc="C060C3C8" w:tentative="1">
      <w:start w:val="1"/>
      <w:numFmt w:val="bullet"/>
      <w:lvlText w:val="o"/>
      <w:lvlJc w:val="left"/>
      <w:pPr>
        <w:ind w:left="1890" w:hanging="360"/>
      </w:pPr>
      <w:rPr>
        <w:rFonts w:ascii="Courier New" w:hAnsi="Courier New" w:cs="Courier New" w:hint="default"/>
      </w:rPr>
    </w:lvl>
    <w:lvl w:ilvl="2" w:tplc="5C26A754" w:tentative="1">
      <w:start w:val="1"/>
      <w:numFmt w:val="bullet"/>
      <w:lvlText w:val=""/>
      <w:lvlJc w:val="left"/>
      <w:pPr>
        <w:ind w:left="2610" w:hanging="360"/>
      </w:pPr>
      <w:rPr>
        <w:rFonts w:ascii="Wingdings" w:hAnsi="Wingdings" w:hint="default"/>
      </w:rPr>
    </w:lvl>
    <w:lvl w:ilvl="3" w:tplc="B55E70A6" w:tentative="1">
      <w:start w:val="1"/>
      <w:numFmt w:val="bullet"/>
      <w:lvlText w:val=""/>
      <w:lvlJc w:val="left"/>
      <w:pPr>
        <w:ind w:left="3330" w:hanging="360"/>
      </w:pPr>
      <w:rPr>
        <w:rFonts w:ascii="Symbol" w:hAnsi="Symbol" w:hint="default"/>
      </w:rPr>
    </w:lvl>
    <w:lvl w:ilvl="4" w:tplc="11F64634" w:tentative="1">
      <w:start w:val="1"/>
      <w:numFmt w:val="bullet"/>
      <w:lvlText w:val="o"/>
      <w:lvlJc w:val="left"/>
      <w:pPr>
        <w:ind w:left="4050" w:hanging="360"/>
      </w:pPr>
      <w:rPr>
        <w:rFonts w:ascii="Courier New" w:hAnsi="Courier New" w:cs="Courier New" w:hint="default"/>
      </w:rPr>
    </w:lvl>
    <w:lvl w:ilvl="5" w:tplc="BC545194" w:tentative="1">
      <w:start w:val="1"/>
      <w:numFmt w:val="bullet"/>
      <w:lvlText w:val=""/>
      <w:lvlJc w:val="left"/>
      <w:pPr>
        <w:ind w:left="4770" w:hanging="360"/>
      </w:pPr>
      <w:rPr>
        <w:rFonts w:ascii="Wingdings" w:hAnsi="Wingdings" w:hint="default"/>
      </w:rPr>
    </w:lvl>
    <w:lvl w:ilvl="6" w:tplc="23A0356C" w:tentative="1">
      <w:start w:val="1"/>
      <w:numFmt w:val="bullet"/>
      <w:lvlText w:val=""/>
      <w:lvlJc w:val="left"/>
      <w:pPr>
        <w:ind w:left="5490" w:hanging="360"/>
      </w:pPr>
      <w:rPr>
        <w:rFonts w:ascii="Symbol" w:hAnsi="Symbol" w:hint="default"/>
      </w:rPr>
    </w:lvl>
    <w:lvl w:ilvl="7" w:tplc="CD7CB6D6" w:tentative="1">
      <w:start w:val="1"/>
      <w:numFmt w:val="bullet"/>
      <w:lvlText w:val="o"/>
      <w:lvlJc w:val="left"/>
      <w:pPr>
        <w:ind w:left="6210" w:hanging="360"/>
      </w:pPr>
      <w:rPr>
        <w:rFonts w:ascii="Courier New" w:hAnsi="Courier New" w:cs="Courier New" w:hint="default"/>
      </w:rPr>
    </w:lvl>
    <w:lvl w:ilvl="8" w:tplc="AE5C9EA4" w:tentative="1">
      <w:start w:val="1"/>
      <w:numFmt w:val="bullet"/>
      <w:lvlText w:val=""/>
      <w:lvlJc w:val="left"/>
      <w:pPr>
        <w:ind w:left="6930" w:hanging="360"/>
      </w:pPr>
      <w:rPr>
        <w:rFonts w:ascii="Wingdings" w:hAnsi="Wingdings" w:hint="default"/>
      </w:rPr>
    </w:lvl>
  </w:abstractNum>
  <w:abstractNum w:abstractNumId="7" w15:restartNumberingAfterBreak="0">
    <w:nsid w:val="3FE02FFA"/>
    <w:multiLevelType w:val="multilevel"/>
    <w:tmpl w:val="38B25820"/>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Letter"/>
      <w:lvlText w:val="(%3)"/>
      <w:lvlJc w:val="left"/>
      <w:pPr>
        <w:ind w:left="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671100E"/>
    <w:multiLevelType w:val="hybridMultilevel"/>
    <w:tmpl w:val="3A60F282"/>
    <w:lvl w:ilvl="0" w:tplc="F9F6D778">
      <w:start w:val="1"/>
      <w:numFmt w:val="bullet"/>
      <w:lvlText w:val=""/>
      <w:lvlJc w:val="left"/>
      <w:pPr>
        <w:ind w:left="1080" w:hanging="360"/>
      </w:pPr>
      <w:rPr>
        <w:rFonts w:ascii="Symbol" w:hAnsi="Symbol" w:hint="default"/>
      </w:rPr>
    </w:lvl>
    <w:lvl w:ilvl="1" w:tplc="A844BE78" w:tentative="1">
      <w:start w:val="1"/>
      <w:numFmt w:val="bullet"/>
      <w:lvlText w:val="o"/>
      <w:lvlJc w:val="left"/>
      <w:pPr>
        <w:ind w:left="1800" w:hanging="360"/>
      </w:pPr>
      <w:rPr>
        <w:rFonts w:ascii="Courier New" w:hAnsi="Courier New" w:cs="Courier New" w:hint="default"/>
      </w:rPr>
    </w:lvl>
    <w:lvl w:ilvl="2" w:tplc="B89014B2" w:tentative="1">
      <w:start w:val="1"/>
      <w:numFmt w:val="bullet"/>
      <w:lvlText w:val=""/>
      <w:lvlJc w:val="left"/>
      <w:pPr>
        <w:ind w:left="2520" w:hanging="360"/>
      </w:pPr>
      <w:rPr>
        <w:rFonts w:ascii="Wingdings" w:hAnsi="Wingdings" w:hint="default"/>
      </w:rPr>
    </w:lvl>
    <w:lvl w:ilvl="3" w:tplc="304C5968" w:tentative="1">
      <w:start w:val="1"/>
      <w:numFmt w:val="bullet"/>
      <w:lvlText w:val=""/>
      <w:lvlJc w:val="left"/>
      <w:pPr>
        <w:ind w:left="3240" w:hanging="360"/>
      </w:pPr>
      <w:rPr>
        <w:rFonts w:ascii="Symbol" w:hAnsi="Symbol" w:hint="default"/>
      </w:rPr>
    </w:lvl>
    <w:lvl w:ilvl="4" w:tplc="7F4CFEBC" w:tentative="1">
      <w:start w:val="1"/>
      <w:numFmt w:val="bullet"/>
      <w:lvlText w:val="o"/>
      <w:lvlJc w:val="left"/>
      <w:pPr>
        <w:ind w:left="3960" w:hanging="360"/>
      </w:pPr>
      <w:rPr>
        <w:rFonts w:ascii="Courier New" w:hAnsi="Courier New" w:cs="Courier New" w:hint="default"/>
      </w:rPr>
    </w:lvl>
    <w:lvl w:ilvl="5" w:tplc="0FE6658E" w:tentative="1">
      <w:start w:val="1"/>
      <w:numFmt w:val="bullet"/>
      <w:lvlText w:val=""/>
      <w:lvlJc w:val="left"/>
      <w:pPr>
        <w:ind w:left="4680" w:hanging="360"/>
      </w:pPr>
      <w:rPr>
        <w:rFonts w:ascii="Wingdings" w:hAnsi="Wingdings" w:hint="default"/>
      </w:rPr>
    </w:lvl>
    <w:lvl w:ilvl="6" w:tplc="64941F44" w:tentative="1">
      <w:start w:val="1"/>
      <w:numFmt w:val="bullet"/>
      <w:lvlText w:val=""/>
      <w:lvlJc w:val="left"/>
      <w:pPr>
        <w:ind w:left="5400" w:hanging="360"/>
      </w:pPr>
      <w:rPr>
        <w:rFonts w:ascii="Symbol" w:hAnsi="Symbol" w:hint="default"/>
      </w:rPr>
    </w:lvl>
    <w:lvl w:ilvl="7" w:tplc="CFDCD0EC" w:tentative="1">
      <w:start w:val="1"/>
      <w:numFmt w:val="bullet"/>
      <w:lvlText w:val="o"/>
      <w:lvlJc w:val="left"/>
      <w:pPr>
        <w:ind w:left="6120" w:hanging="360"/>
      </w:pPr>
      <w:rPr>
        <w:rFonts w:ascii="Courier New" w:hAnsi="Courier New" w:cs="Courier New" w:hint="default"/>
      </w:rPr>
    </w:lvl>
    <w:lvl w:ilvl="8" w:tplc="A2368E70" w:tentative="1">
      <w:start w:val="1"/>
      <w:numFmt w:val="bullet"/>
      <w:lvlText w:val=""/>
      <w:lvlJc w:val="left"/>
      <w:pPr>
        <w:ind w:left="6840" w:hanging="360"/>
      </w:pPr>
      <w:rPr>
        <w:rFonts w:ascii="Wingdings" w:hAnsi="Wingdings" w:hint="default"/>
      </w:rPr>
    </w:lvl>
  </w:abstractNum>
  <w:abstractNum w:abstractNumId="9" w15:restartNumberingAfterBreak="0">
    <w:nsid w:val="4AA60AC6"/>
    <w:multiLevelType w:val="multilevel"/>
    <w:tmpl w:val="B0403554"/>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67C13DA"/>
    <w:multiLevelType w:val="multilevel"/>
    <w:tmpl w:val="5394ABB6"/>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2A5459"/>
    <w:multiLevelType w:val="hybridMultilevel"/>
    <w:tmpl w:val="C248BBDA"/>
    <w:lvl w:ilvl="0" w:tplc="21587CEC">
      <w:start w:val="1"/>
      <w:numFmt w:val="upperLetter"/>
      <w:lvlText w:val="%1."/>
      <w:lvlJc w:val="left"/>
      <w:pPr>
        <w:ind w:left="1080" w:hanging="360"/>
      </w:pPr>
    </w:lvl>
    <w:lvl w:ilvl="1" w:tplc="C588A10C" w:tentative="1">
      <w:start w:val="1"/>
      <w:numFmt w:val="lowerLetter"/>
      <w:lvlText w:val="%2."/>
      <w:lvlJc w:val="left"/>
      <w:pPr>
        <w:ind w:left="1800" w:hanging="360"/>
      </w:pPr>
    </w:lvl>
    <w:lvl w:ilvl="2" w:tplc="DD58FB54" w:tentative="1">
      <w:start w:val="1"/>
      <w:numFmt w:val="lowerRoman"/>
      <w:lvlText w:val="%3."/>
      <w:lvlJc w:val="right"/>
      <w:pPr>
        <w:ind w:left="2520" w:hanging="180"/>
      </w:pPr>
    </w:lvl>
    <w:lvl w:ilvl="3" w:tplc="7740565E" w:tentative="1">
      <w:start w:val="1"/>
      <w:numFmt w:val="decimal"/>
      <w:lvlText w:val="%4."/>
      <w:lvlJc w:val="left"/>
      <w:pPr>
        <w:ind w:left="3240" w:hanging="360"/>
      </w:pPr>
    </w:lvl>
    <w:lvl w:ilvl="4" w:tplc="AF3E5FAE" w:tentative="1">
      <w:start w:val="1"/>
      <w:numFmt w:val="lowerLetter"/>
      <w:lvlText w:val="%5."/>
      <w:lvlJc w:val="left"/>
      <w:pPr>
        <w:ind w:left="3960" w:hanging="360"/>
      </w:pPr>
    </w:lvl>
    <w:lvl w:ilvl="5" w:tplc="145C5128" w:tentative="1">
      <w:start w:val="1"/>
      <w:numFmt w:val="lowerRoman"/>
      <w:lvlText w:val="%6."/>
      <w:lvlJc w:val="right"/>
      <w:pPr>
        <w:ind w:left="4680" w:hanging="180"/>
      </w:pPr>
    </w:lvl>
    <w:lvl w:ilvl="6" w:tplc="CC00B5AA" w:tentative="1">
      <w:start w:val="1"/>
      <w:numFmt w:val="decimal"/>
      <w:lvlText w:val="%7."/>
      <w:lvlJc w:val="left"/>
      <w:pPr>
        <w:ind w:left="5400" w:hanging="360"/>
      </w:pPr>
    </w:lvl>
    <w:lvl w:ilvl="7" w:tplc="DE3658E0" w:tentative="1">
      <w:start w:val="1"/>
      <w:numFmt w:val="lowerLetter"/>
      <w:lvlText w:val="%8."/>
      <w:lvlJc w:val="left"/>
      <w:pPr>
        <w:ind w:left="6120" w:hanging="360"/>
      </w:pPr>
    </w:lvl>
    <w:lvl w:ilvl="8" w:tplc="E270968A" w:tentative="1">
      <w:start w:val="1"/>
      <w:numFmt w:val="lowerRoman"/>
      <w:lvlText w:val="%9."/>
      <w:lvlJc w:val="right"/>
      <w:pPr>
        <w:ind w:left="6840" w:hanging="180"/>
      </w:pPr>
    </w:lvl>
  </w:abstractNum>
  <w:abstractNum w:abstractNumId="12" w15:restartNumberingAfterBreak="0">
    <w:nsid w:val="66603A04"/>
    <w:multiLevelType w:val="multilevel"/>
    <w:tmpl w:val="4EE038E0"/>
    <w:lvl w:ilvl="0">
      <w:start w:val="1"/>
      <w:numFmt w:val="upperRoman"/>
      <w:pStyle w:val="Article2L1"/>
      <w:suff w:val="nothing"/>
      <w:lvlText w:val="Article %1"/>
      <w:lvlJc w:val="left"/>
      <w:pPr>
        <w:ind w:left="0" w:firstLine="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Zero"/>
      <w:pStyle w:val="Article2L2"/>
      <w:isLgl/>
      <w:lvlText w:val="%1.%2"/>
      <w:lvlJc w:val="left"/>
      <w:pPr>
        <w:tabs>
          <w:tab w:val="num" w:pos="1440"/>
        </w:tabs>
        <w:ind w:left="0" w:firstLine="720"/>
      </w:pPr>
      <w:rPr>
        <w:rFonts w:ascii="Times New Roman" w:hAnsi="Times New Roman" w:cs="Times New Roman" w:hint="default"/>
        <w:b/>
        <w:i w:val="0"/>
        <w:caps w:val="0"/>
        <w:color w:val="auto"/>
        <w:sz w:val="24"/>
        <w:u w:val="none"/>
      </w:rPr>
    </w:lvl>
    <w:lvl w:ilvl="2">
      <w:start w:val="1"/>
      <w:numFmt w:val="lowerLetter"/>
      <w:pStyle w:val="Article2L3"/>
      <w:lvlText w:val="(%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lowerLetter"/>
      <w:pStyle w:val="Article2L4"/>
      <w:lvlText w:val="(%4)"/>
      <w:lvlJc w:val="left"/>
      <w:pPr>
        <w:tabs>
          <w:tab w:val="num" w:pos="1440"/>
        </w:tabs>
        <w:ind w:left="1440" w:hanging="720"/>
      </w:pPr>
      <w:rPr>
        <w:rFonts w:ascii="Times New Roman" w:hAnsi="Times New Roman" w:cs="Times New Roman" w:hint="default"/>
        <w:b w:val="0"/>
        <w:i w:val="0"/>
        <w:caps w:val="0"/>
        <w:color w:val="auto"/>
        <w:sz w:val="24"/>
        <w:u w:val="none"/>
      </w:rPr>
    </w:lvl>
    <w:lvl w:ilvl="4">
      <w:start w:val="1"/>
      <w:numFmt w:val="decimal"/>
      <w:pStyle w:val="Article2L5"/>
      <w:lvlText w:val="(%5)"/>
      <w:lvlJc w:val="left"/>
      <w:pPr>
        <w:tabs>
          <w:tab w:val="num" w:pos="1800"/>
        </w:tabs>
        <w:ind w:left="1440" w:hanging="360"/>
      </w:pPr>
      <w:rPr>
        <w:rFonts w:ascii="Times New Roman" w:hAnsi="Times New Roman" w:cs="Times New Roman" w:hint="default"/>
        <w:b w:val="0"/>
        <w:i w:val="0"/>
        <w:caps w:val="0"/>
        <w:color w:val="auto"/>
        <w:sz w:val="24"/>
        <w:u w:val="none"/>
      </w:rPr>
    </w:lvl>
    <w:lvl w:ilvl="5">
      <w:start w:val="1"/>
      <w:numFmt w:val="lowerRoman"/>
      <w:pStyle w:val="Article2L6"/>
      <w:lvlText w:val="(%6)"/>
      <w:lvlJc w:val="left"/>
      <w:pPr>
        <w:tabs>
          <w:tab w:val="num" w:pos="2880"/>
        </w:tabs>
        <w:ind w:left="1440" w:firstLine="720"/>
      </w:pPr>
      <w:rPr>
        <w:rFonts w:ascii="Times New Roman" w:hAnsi="Times New Roman" w:cs="Times New Roman" w:hint="default"/>
        <w:b w:val="0"/>
        <w:i w:val="0"/>
        <w:caps w:val="0"/>
        <w:color w:val="auto"/>
        <w:sz w:val="24"/>
        <w:u w:val="none"/>
      </w:rPr>
    </w:lvl>
    <w:lvl w:ilvl="6">
      <w:start w:val="1"/>
      <w:numFmt w:val="lowerLetter"/>
      <w:pStyle w:val="Article2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Roman"/>
      <w:pStyle w:val="Article2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upperLetter"/>
      <w:pStyle w:val="Article2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13" w15:restartNumberingAfterBreak="0">
    <w:nsid w:val="68206876"/>
    <w:multiLevelType w:val="hybridMultilevel"/>
    <w:tmpl w:val="62748CCC"/>
    <w:lvl w:ilvl="0" w:tplc="8FA2BC72">
      <w:start w:val="1"/>
      <w:numFmt w:val="bullet"/>
      <w:lvlText w:val="o"/>
      <w:lvlJc w:val="left"/>
      <w:pPr>
        <w:ind w:left="1800" w:hanging="360"/>
      </w:pPr>
      <w:rPr>
        <w:rFonts w:ascii="Courier New" w:hAnsi="Courier New" w:cs="Courier New" w:hint="default"/>
      </w:rPr>
    </w:lvl>
    <w:lvl w:ilvl="1" w:tplc="D22EB720" w:tentative="1">
      <w:start w:val="1"/>
      <w:numFmt w:val="bullet"/>
      <w:lvlText w:val="o"/>
      <w:lvlJc w:val="left"/>
      <w:pPr>
        <w:ind w:left="2520" w:hanging="360"/>
      </w:pPr>
      <w:rPr>
        <w:rFonts w:ascii="Courier New" w:hAnsi="Courier New" w:cs="Courier New" w:hint="default"/>
      </w:rPr>
    </w:lvl>
    <w:lvl w:ilvl="2" w:tplc="C0CAC15A" w:tentative="1">
      <w:start w:val="1"/>
      <w:numFmt w:val="bullet"/>
      <w:lvlText w:val=""/>
      <w:lvlJc w:val="left"/>
      <w:pPr>
        <w:ind w:left="3240" w:hanging="360"/>
      </w:pPr>
      <w:rPr>
        <w:rFonts w:ascii="Wingdings" w:hAnsi="Wingdings" w:hint="default"/>
      </w:rPr>
    </w:lvl>
    <w:lvl w:ilvl="3" w:tplc="2496D9BE" w:tentative="1">
      <w:start w:val="1"/>
      <w:numFmt w:val="bullet"/>
      <w:lvlText w:val=""/>
      <w:lvlJc w:val="left"/>
      <w:pPr>
        <w:ind w:left="3960" w:hanging="360"/>
      </w:pPr>
      <w:rPr>
        <w:rFonts w:ascii="Symbol" w:hAnsi="Symbol" w:hint="default"/>
      </w:rPr>
    </w:lvl>
    <w:lvl w:ilvl="4" w:tplc="D382E300" w:tentative="1">
      <w:start w:val="1"/>
      <w:numFmt w:val="bullet"/>
      <w:lvlText w:val="o"/>
      <w:lvlJc w:val="left"/>
      <w:pPr>
        <w:ind w:left="4680" w:hanging="360"/>
      </w:pPr>
      <w:rPr>
        <w:rFonts w:ascii="Courier New" w:hAnsi="Courier New" w:cs="Courier New" w:hint="default"/>
      </w:rPr>
    </w:lvl>
    <w:lvl w:ilvl="5" w:tplc="2278B652" w:tentative="1">
      <w:start w:val="1"/>
      <w:numFmt w:val="bullet"/>
      <w:lvlText w:val=""/>
      <w:lvlJc w:val="left"/>
      <w:pPr>
        <w:ind w:left="5400" w:hanging="360"/>
      </w:pPr>
      <w:rPr>
        <w:rFonts w:ascii="Wingdings" w:hAnsi="Wingdings" w:hint="default"/>
      </w:rPr>
    </w:lvl>
    <w:lvl w:ilvl="6" w:tplc="1C9E2144" w:tentative="1">
      <w:start w:val="1"/>
      <w:numFmt w:val="bullet"/>
      <w:lvlText w:val=""/>
      <w:lvlJc w:val="left"/>
      <w:pPr>
        <w:ind w:left="6120" w:hanging="360"/>
      </w:pPr>
      <w:rPr>
        <w:rFonts w:ascii="Symbol" w:hAnsi="Symbol" w:hint="default"/>
      </w:rPr>
    </w:lvl>
    <w:lvl w:ilvl="7" w:tplc="AE1280BE" w:tentative="1">
      <w:start w:val="1"/>
      <w:numFmt w:val="bullet"/>
      <w:lvlText w:val="o"/>
      <w:lvlJc w:val="left"/>
      <w:pPr>
        <w:ind w:left="6840" w:hanging="360"/>
      </w:pPr>
      <w:rPr>
        <w:rFonts w:ascii="Courier New" w:hAnsi="Courier New" w:cs="Courier New" w:hint="default"/>
      </w:rPr>
    </w:lvl>
    <w:lvl w:ilvl="8" w:tplc="798088E6" w:tentative="1">
      <w:start w:val="1"/>
      <w:numFmt w:val="bullet"/>
      <w:lvlText w:val=""/>
      <w:lvlJc w:val="left"/>
      <w:pPr>
        <w:ind w:left="7560" w:hanging="360"/>
      </w:pPr>
      <w:rPr>
        <w:rFonts w:ascii="Wingdings" w:hAnsi="Wingdings" w:hint="default"/>
      </w:rPr>
    </w:lvl>
  </w:abstractNum>
  <w:abstractNum w:abstractNumId="14" w15:restartNumberingAfterBreak="0">
    <w:nsid w:val="687A55EE"/>
    <w:multiLevelType w:val="multilevel"/>
    <w:tmpl w:val="60CE4B72"/>
    <w:lvl w:ilvl="0">
      <w:start w:val="1"/>
      <w:numFmt w:val="decimal"/>
      <w:pStyle w:val="Heading1"/>
      <w:lvlText w:val="%1."/>
      <w:lvlJc w:val="left"/>
      <w:rPr>
        <w:rFonts w:cs="Times New Roman" w:hint="default"/>
      </w:rPr>
    </w:lvl>
    <w:lvl w:ilvl="1">
      <w:start w:val="1"/>
      <w:numFmt w:val="decimal"/>
      <w:pStyle w:val="Heading2"/>
      <w:lvlText w:val="%1.%2."/>
      <w:lvlJc w:val="left"/>
      <w:pPr>
        <w:ind w:firstLine="720"/>
      </w:pPr>
      <w:rPr>
        <w:rFonts w:cs="Times New Roman" w:hint="default"/>
        <w:b w:val="0"/>
      </w:rPr>
    </w:lvl>
    <w:lvl w:ilvl="2">
      <w:start w:val="1"/>
      <w:numFmt w:val="lowerLetter"/>
      <w:pStyle w:val="Heading3"/>
      <w:lvlText w:val="(%3)"/>
      <w:lvlJc w:val="left"/>
      <w:pPr>
        <w:ind w:left="720"/>
      </w:pPr>
      <w:rPr>
        <w:rFonts w:cs="Times New Roman" w:hint="default"/>
      </w:rPr>
    </w:lvl>
    <w:lvl w:ilvl="3">
      <w:start w:val="1"/>
      <w:numFmt w:val="lowerRoman"/>
      <w:pStyle w:val="Heading4"/>
      <w:lvlText w:val="(%4)"/>
      <w:lvlJc w:val="left"/>
      <w:pPr>
        <w:ind w:left="1440" w:firstLine="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6CB35D25"/>
    <w:multiLevelType w:val="hybridMultilevel"/>
    <w:tmpl w:val="3C005540"/>
    <w:lvl w:ilvl="0" w:tplc="4FBE7C38">
      <w:start w:val="1"/>
      <w:numFmt w:val="decimal"/>
      <w:lvlText w:val="%1."/>
      <w:lvlJc w:val="left"/>
      <w:pPr>
        <w:ind w:left="1080" w:hanging="360"/>
      </w:pPr>
      <w:rPr>
        <w:rFonts w:hint="default"/>
      </w:rPr>
    </w:lvl>
    <w:lvl w:ilvl="1" w:tplc="EF52AB0A" w:tentative="1">
      <w:start w:val="1"/>
      <w:numFmt w:val="bullet"/>
      <w:lvlText w:val="o"/>
      <w:lvlJc w:val="left"/>
      <w:pPr>
        <w:ind w:left="1800" w:hanging="360"/>
      </w:pPr>
      <w:rPr>
        <w:rFonts w:ascii="Courier New" w:hAnsi="Courier New" w:cs="Courier New" w:hint="default"/>
      </w:rPr>
    </w:lvl>
    <w:lvl w:ilvl="2" w:tplc="2E889576" w:tentative="1">
      <w:start w:val="1"/>
      <w:numFmt w:val="bullet"/>
      <w:lvlText w:val=""/>
      <w:lvlJc w:val="left"/>
      <w:pPr>
        <w:ind w:left="2520" w:hanging="360"/>
      </w:pPr>
      <w:rPr>
        <w:rFonts w:ascii="Wingdings" w:hAnsi="Wingdings" w:hint="default"/>
      </w:rPr>
    </w:lvl>
    <w:lvl w:ilvl="3" w:tplc="38243B78" w:tentative="1">
      <w:start w:val="1"/>
      <w:numFmt w:val="bullet"/>
      <w:lvlText w:val=""/>
      <w:lvlJc w:val="left"/>
      <w:pPr>
        <w:ind w:left="3240" w:hanging="360"/>
      </w:pPr>
      <w:rPr>
        <w:rFonts w:ascii="Symbol" w:hAnsi="Symbol" w:hint="default"/>
      </w:rPr>
    </w:lvl>
    <w:lvl w:ilvl="4" w:tplc="D226A442" w:tentative="1">
      <w:start w:val="1"/>
      <w:numFmt w:val="bullet"/>
      <w:lvlText w:val="o"/>
      <w:lvlJc w:val="left"/>
      <w:pPr>
        <w:ind w:left="3960" w:hanging="360"/>
      </w:pPr>
      <w:rPr>
        <w:rFonts w:ascii="Courier New" w:hAnsi="Courier New" w:cs="Courier New" w:hint="default"/>
      </w:rPr>
    </w:lvl>
    <w:lvl w:ilvl="5" w:tplc="0D362992" w:tentative="1">
      <w:start w:val="1"/>
      <w:numFmt w:val="bullet"/>
      <w:lvlText w:val=""/>
      <w:lvlJc w:val="left"/>
      <w:pPr>
        <w:ind w:left="4680" w:hanging="360"/>
      </w:pPr>
      <w:rPr>
        <w:rFonts w:ascii="Wingdings" w:hAnsi="Wingdings" w:hint="default"/>
      </w:rPr>
    </w:lvl>
    <w:lvl w:ilvl="6" w:tplc="3FF28702" w:tentative="1">
      <w:start w:val="1"/>
      <w:numFmt w:val="bullet"/>
      <w:lvlText w:val=""/>
      <w:lvlJc w:val="left"/>
      <w:pPr>
        <w:ind w:left="5400" w:hanging="360"/>
      </w:pPr>
      <w:rPr>
        <w:rFonts w:ascii="Symbol" w:hAnsi="Symbol" w:hint="default"/>
      </w:rPr>
    </w:lvl>
    <w:lvl w:ilvl="7" w:tplc="DAE8A1AE" w:tentative="1">
      <w:start w:val="1"/>
      <w:numFmt w:val="bullet"/>
      <w:lvlText w:val="o"/>
      <w:lvlJc w:val="left"/>
      <w:pPr>
        <w:ind w:left="6120" w:hanging="360"/>
      </w:pPr>
      <w:rPr>
        <w:rFonts w:ascii="Courier New" w:hAnsi="Courier New" w:cs="Courier New" w:hint="default"/>
      </w:rPr>
    </w:lvl>
    <w:lvl w:ilvl="8" w:tplc="2A601F8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8"/>
  </w:num>
  <w:num w:numId="13">
    <w:abstractNumId w:val="15"/>
  </w:num>
  <w:num w:numId="14">
    <w:abstractNumId w:val="6"/>
  </w:num>
  <w:num w:numId="15">
    <w:abstractNumId w:val="4"/>
  </w:num>
  <w:num w:numId="16">
    <w:abstractNumId w:val="11"/>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68"/>
    <w:rsid w:val="000110FC"/>
    <w:rsid w:val="000E40AC"/>
    <w:rsid w:val="00102F02"/>
    <w:rsid w:val="00156C3D"/>
    <w:rsid w:val="00190207"/>
    <w:rsid w:val="001B5D2D"/>
    <w:rsid w:val="00214F12"/>
    <w:rsid w:val="00222720"/>
    <w:rsid w:val="0025398D"/>
    <w:rsid w:val="00270927"/>
    <w:rsid w:val="002A51AD"/>
    <w:rsid w:val="002B7528"/>
    <w:rsid w:val="003A6F42"/>
    <w:rsid w:val="003C4C66"/>
    <w:rsid w:val="003C61E2"/>
    <w:rsid w:val="004544BC"/>
    <w:rsid w:val="00477472"/>
    <w:rsid w:val="00506D84"/>
    <w:rsid w:val="005A3C26"/>
    <w:rsid w:val="005D2ECA"/>
    <w:rsid w:val="005E28F6"/>
    <w:rsid w:val="00614A37"/>
    <w:rsid w:val="006410A0"/>
    <w:rsid w:val="0067369F"/>
    <w:rsid w:val="00697DC1"/>
    <w:rsid w:val="00776431"/>
    <w:rsid w:val="007C404A"/>
    <w:rsid w:val="007C4489"/>
    <w:rsid w:val="00806F00"/>
    <w:rsid w:val="008129FB"/>
    <w:rsid w:val="00832B75"/>
    <w:rsid w:val="0086452B"/>
    <w:rsid w:val="00891C5E"/>
    <w:rsid w:val="00961846"/>
    <w:rsid w:val="009A73F3"/>
    <w:rsid w:val="009E4D88"/>
    <w:rsid w:val="00A31568"/>
    <w:rsid w:val="00A47479"/>
    <w:rsid w:val="00A716E2"/>
    <w:rsid w:val="00A75E1B"/>
    <w:rsid w:val="00A81F43"/>
    <w:rsid w:val="00A9213B"/>
    <w:rsid w:val="00B05CAC"/>
    <w:rsid w:val="00B41AC3"/>
    <w:rsid w:val="00B80988"/>
    <w:rsid w:val="00B8377A"/>
    <w:rsid w:val="00C4524B"/>
    <w:rsid w:val="00C457C5"/>
    <w:rsid w:val="00CC0B86"/>
    <w:rsid w:val="00D139B3"/>
    <w:rsid w:val="00D8639B"/>
    <w:rsid w:val="00DC5008"/>
    <w:rsid w:val="00DC69AC"/>
    <w:rsid w:val="00DE63E6"/>
    <w:rsid w:val="00E3188A"/>
    <w:rsid w:val="00E516F7"/>
    <w:rsid w:val="00E6492B"/>
    <w:rsid w:val="00E77917"/>
    <w:rsid w:val="00EC4550"/>
    <w:rsid w:val="00F15320"/>
    <w:rsid w:val="00F24C1A"/>
    <w:rsid w:val="00F40E4F"/>
    <w:rsid w:val="00F91C14"/>
    <w:rsid w:val="00FD6707"/>
    <w:rsid w:val="00FE7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6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8129FB"/>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8129FB"/>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1">
    <w:name w:val="Unresolved Mention1"/>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871F09"/>
    <w:rPr>
      <w:rFonts w:ascii="Times New Roman" w:hAnsi="Times New Roman" w:cs="Times New Roman"/>
      <w:dstrike w:val="0"/>
      <w:noProof/>
      <w:color w:val="auto"/>
      <w:spacing w:val="0"/>
      <w:position w:val="0"/>
      <w:sz w:val="16"/>
      <w:szCs w:val="16"/>
      <w:u w:val="none"/>
      <w:effect w:val="none"/>
      <w:vertAlign w:val="baseline"/>
    </w:rPr>
  </w:style>
  <w:style w:type="paragraph" w:styleId="ListNumber">
    <w:name w:val="List Number"/>
    <w:basedOn w:val="Normal"/>
    <w:uiPriority w:val="99"/>
    <w:unhideWhenUsed/>
    <w:rsid w:val="008158CB"/>
    <w:pPr>
      <w:ind w:firstLine="0"/>
    </w:pPr>
    <w:rPr>
      <w:rFonts w:eastAsiaTheme="minorHAnsi" w:cstheme="minorBidi"/>
      <w:szCs w:val="22"/>
    </w:rPr>
  </w:style>
  <w:style w:type="paragraph" w:customStyle="1" w:styleId="Article2L1">
    <w:name w:val="Article2_L1"/>
    <w:basedOn w:val="Normal"/>
    <w:rsid w:val="008158CB"/>
    <w:pPr>
      <w:keepNext/>
      <w:numPr>
        <w:numId w:val="17"/>
      </w:numPr>
      <w:jc w:val="center"/>
      <w:outlineLvl w:val="0"/>
    </w:pPr>
    <w:rPr>
      <w:b/>
      <w:caps/>
    </w:rPr>
  </w:style>
  <w:style w:type="paragraph" w:customStyle="1" w:styleId="Article2L2">
    <w:name w:val="Article2_L2"/>
    <w:basedOn w:val="Article2L1"/>
    <w:link w:val="Article2L2Char"/>
    <w:rsid w:val="008158CB"/>
    <w:pPr>
      <w:keepNext w:val="0"/>
      <w:numPr>
        <w:ilvl w:val="1"/>
      </w:numPr>
      <w:jc w:val="both"/>
      <w:outlineLvl w:val="1"/>
    </w:pPr>
    <w:rPr>
      <w:b w:val="0"/>
      <w:caps w:val="0"/>
    </w:rPr>
  </w:style>
  <w:style w:type="character" w:customStyle="1" w:styleId="Article2L2Char">
    <w:name w:val="Article2_L2 Char"/>
    <w:basedOn w:val="DefaultParagraphFont"/>
    <w:link w:val="Article2L2"/>
    <w:rsid w:val="008158CB"/>
    <w:rPr>
      <w:sz w:val="24"/>
    </w:rPr>
  </w:style>
  <w:style w:type="paragraph" w:customStyle="1" w:styleId="Article2L3">
    <w:name w:val="Article2_L3"/>
    <w:basedOn w:val="Article2L2"/>
    <w:rsid w:val="008158CB"/>
    <w:pPr>
      <w:numPr>
        <w:ilvl w:val="2"/>
      </w:numPr>
      <w:outlineLvl w:val="2"/>
    </w:pPr>
  </w:style>
  <w:style w:type="paragraph" w:customStyle="1" w:styleId="Article2L4">
    <w:name w:val="Article2_L4"/>
    <w:basedOn w:val="Article2L3"/>
    <w:link w:val="Article2L4Char"/>
    <w:rsid w:val="008158CB"/>
    <w:pPr>
      <w:numPr>
        <w:ilvl w:val="3"/>
      </w:numPr>
      <w:contextualSpacing/>
      <w:outlineLvl w:val="3"/>
    </w:pPr>
  </w:style>
  <w:style w:type="character" w:customStyle="1" w:styleId="Article2L4Char">
    <w:name w:val="Article2_L4 Char"/>
    <w:basedOn w:val="DefaultParagraphFont"/>
    <w:link w:val="Article2L4"/>
    <w:rsid w:val="008158CB"/>
    <w:rPr>
      <w:sz w:val="24"/>
    </w:rPr>
  </w:style>
  <w:style w:type="paragraph" w:customStyle="1" w:styleId="Article2L5">
    <w:name w:val="Article2_L5"/>
    <w:basedOn w:val="Article2L4"/>
    <w:rsid w:val="008158CB"/>
    <w:pPr>
      <w:numPr>
        <w:ilvl w:val="4"/>
      </w:numPr>
      <w:spacing w:after="0"/>
      <w:outlineLvl w:val="4"/>
    </w:pPr>
  </w:style>
  <w:style w:type="paragraph" w:customStyle="1" w:styleId="Article2L6">
    <w:name w:val="Article2_L6"/>
    <w:basedOn w:val="Article2L5"/>
    <w:rsid w:val="008158CB"/>
    <w:pPr>
      <w:numPr>
        <w:ilvl w:val="5"/>
      </w:numPr>
      <w:spacing w:after="240"/>
      <w:contextualSpacing w:val="0"/>
      <w:outlineLvl w:val="5"/>
    </w:pPr>
  </w:style>
  <w:style w:type="paragraph" w:customStyle="1" w:styleId="Article2L7">
    <w:name w:val="Article2_L7"/>
    <w:basedOn w:val="Article2L6"/>
    <w:rsid w:val="008158CB"/>
    <w:pPr>
      <w:numPr>
        <w:ilvl w:val="6"/>
      </w:numPr>
      <w:outlineLvl w:val="6"/>
    </w:pPr>
  </w:style>
  <w:style w:type="paragraph" w:customStyle="1" w:styleId="Article2L8">
    <w:name w:val="Article2_L8"/>
    <w:basedOn w:val="Article2L7"/>
    <w:rsid w:val="008158CB"/>
    <w:pPr>
      <w:numPr>
        <w:ilvl w:val="7"/>
      </w:numPr>
      <w:outlineLvl w:val="7"/>
    </w:pPr>
  </w:style>
  <w:style w:type="paragraph" w:customStyle="1" w:styleId="Article2L9">
    <w:name w:val="Article2_L9"/>
    <w:basedOn w:val="Article2L8"/>
    <w:rsid w:val="008158CB"/>
    <w:pPr>
      <w:numPr>
        <w:ilvl w:val="8"/>
      </w:numPr>
      <w:outlineLvl w:val="8"/>
    </w:pPr>
  </w:style>
  <w:style w:type="character" w:styleId="UnresolvedMention">
    <w:name w:val="Unresolved Mention"/>
    <w:basedOn w:val="DefaultParagraphFont"/>
    <w:uiPriority w:val="99"/>
    <w:semiHidden/>
    <w:unhideWhenUsed/>
    <w:rsid w:val="00E6492B"/>
    <w:rPr>
      <w:color w:val="605E5C"/>
      <w:shd w:val="clear" w:color="auto" w:fill="E1DFDD"/>
    </w:rPr>
  </w:style>
  <w:style w:type="paragraph" w:styleId="BodyTextIndent2">
    <w:name w:val="Body Text Indent 2"/>
    <w:basedOn w:val="Normal"/>
    <w:link w:val="BodyTextIndent2Char"/>
    <w:uiPriority w:val="99"/>
    <w:semiHidden/>
    <w:unhideWhenUsed/>
    <w:rsid w:val="00F40E4F"/>
    <w:pPr>
      <w:spacing w:after="120" w:line="480" w:lineRule="auto"/>
      <w:ind w:left="360"/>
    </w:pPr>
  </w:style>
  <w:style w:type="character" w:customStyle="1" w:styleId="BodyTextIndent2Char">
    <w:name w:val="Body Text Indent 2 Char"/>
    <w:basedOn w:val="DefaultParagraphFont"/>
    <w:link w:val="BodyTextIndent2"/>
    <w:uiPriority w:val="99"/>
    <w:semiHidden/>
    <w:rsid w:val="00F40E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jenkins@nor-wood.com" TargetMode="External"/><Relationship Id="rId13" Type="http://schemas.openxmlformats.org/officeDocument/2006/relationships/hyperlink" Target="mailto:rdykstra@spencerfane.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chrisjenkins@nor-wood.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eville@k2bla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hyperlink" Target="mailto:jwalker@springsgov.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White@BHFS.com"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964C-818E-48DC-AF73-C3202BF3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12032</Words>
  <Characters>63950</Characters>
  <Application>Microsoft Office Word</Application>
  <DocSecurity>4</DocSecurity>
  <Lines>532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2020-01-25T00:10:00Z</dcterms:created>
  <dcterms:modified xsi:type="dcterms:W3CDTF">2020-01-25T00:10:00Z</dcterms:modified>
</cp:coreProperties>
</file>